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F61" w:rsidRDefault="004D4F61" w:rsidP="004D4F61">
      <w:pPr>
        <w:jc w:val="center"/>
        <w:rPr>
          <w:rFonts w:ascii="Louvre Sans Reg" w:hAnsi="Louvre Sans Reg"/>
          <w:b/>
          <w:sz w:val="28"/>
          <w:szCs w:val="24"/>
        </w:rPr>
      </w:pPr>
    </w:p>
    <w:p w:rsidR="004D4F61" w:rsidRPr="004D4F61" w:rsidRDefault="004D4F61" w:rsidP="004D4F61">
      <w:pPr>
        <w:jc w:val="center"/>
        <w:rPr>
          <w:rFonts w:ascii="Louvre Sans Reg" w:hAnsi="Louvre Sans Reg"/>
          <w:b/>
          <w:sz w:val="28"/>
          <w:szCs w:val="24"/>
        </w:rPr>
      </w:pPr>
      <w:r w:rsidRPr="004D4F61">
        <w:rPr>
          <w:rFonts w:ascii="Louvre Sans Reg" w:hAnsi="Louvre Sans Reg"/>
          <w:b/>
          <w:sz w:val="28"/>
          <w:szCs w:val="24"/>
        </w:rPr>
        <w:t>Réaménagement DES SALLES DU DEPARTEMENT DES ARTS DE L’ISLAM</w:t>
      </w:r>
      <w:r>
        <w:rPr>
          <w:rFonts w:ascii="Louvre Sans Reg" w:hAnsi="Louvre Sans Reg"/>
          <w:b/>
          <w:sz w:val="28"/>
          <w:szCs w:val="24"/>
        </w:rPr>
        <w:t xml:space="preserve"> (DAI)</w:t>
      </w:r>
    </w:p>
    <w:p w:rsidR="004D4F61" w:rsidRDefault="004D4F61" w:rsidP="00BB496B">
      <w:pPr>
        <w:rPr>
          <w:rFonts w:ascii="Garamond" w:hAnsi="Garamond"/>
          <w:sz w:val="24"/>
          <w:szCs w:val="24"/>
        </w:rPr>
      </w:pPr>
    </w:p>
    <w:p w:rsidR="004D4F61" w:rsidRDefault="004D4F61" w:rsidP="00BB496B">
      <w:pPr>
        <w:rPr>
          <w:rFonts w:ascii="Garamond" w:hAnsi="Garamond"/>
          <w:sz w:val="24"/>
          <w:szCs w:val="24"/>
        </w:rPr>
      </w:pPr>
    </w:p>
    <w:p w:rsidR="00BB496B" w:rsidRDefault="004D4F61" w:rsidP="00BB496B">
      <w:pPr>
        <w:rPr>
          <w:rFonts w:ascii="Garamond" w:hAnsi="Garamond"/>
          <w:sz w:val="24"/>
          <w:szCs w:val="24"/>
        </w:rPr>
      </w:pPr>
      <w:r>
        <w:rPr>
          <w:rFonts w:ascii="Garamond" w:hAnsi="Garamond"/>
          <w:sz w:val="24"/>
          <w:szCs w:val="24"/>
        </w:rPr>
        <w:tab/>
      </w:r>
      <w:r w:rsidR="00BB496B" w:rsidRPr="004D4F61">
        <w:rPr>
          <w:rFonts w:ascii="Garamond" w:hAnsi="Garamond"/>
          <w:sz w:val="24"/>
          <w:szCs w:val="24"/>
        </w:rPr>
        <w:t xml:space="preserve">Le département des Arts de l’Islam est contraint de fermer ses portes à partir de 2025 à cause des travaux de réaménagement du parcours Romain et de création du parcours des Arts de Byzance et des Chrétientés en Orient. Ces travaux seront conduits en périphérie des collections des Arts de l’Islam rendant impossible son accès aux visiteurs. Cette fermeture constitue une opportunité inédite pour le département des Arts de l’Islam pour repenser le parcours permanent, qui n’est plus adapté ni aux visiteurs d’aujourd’hui, ni au propos scientifique souhaité. </w:t>
      </w:r>
    </w:p>
    <w:p w:rsidR="004D4F61" w:rsidRDefault="004D4F61" w:rsidP="00BB496B">
      <w:pPr>
        <w:rPr>
          <w:rFonts w:ascii="Garamond" w:hAnsi="Garamond"/>
          <w:i/>
          <w:sz w:val="24"/>
          <w:szCs w:val="24"/>
        </w:rPr>
      </w:pPr>
    </w:p>
    <w:p w:rsidR="004D4F61" w:rsidRDefault="004D4F61" w:rsidP="00BB496B">
      <w:pPr>
        <w:rPr>
          <w:rFonts w:ascii="Garamond" w:hAnsi="Garamond"/>
          <w:i/>
          <w:sz w:val="24"/>
          <w:szCs w:val="24"/>
        </w:rPr>
      </w:pPr>
      <w:r w:rsidRPr="004D4F61">
        <w:rPr>
          <w:rFonts w:ascii="Garamond" w:hAnsi="Garamond"/>
          <w:i/>
          <w:noProof/>
          <w:sz w:val="24"/>
          <w:szCs w:val="24"/>
          <w:lang w:eastAsia="fr-FR"/>
        </w:rPr>
        <w:drawing>
          <wp:inline distT="0" distB="0" distL="0" distR="0" wp14:anchorId="3B29617C" wp14:editId="61606482">
            <wp:extent cx="5760720" cy="3535045"/>
            <wp:effectExtent l="0" t="0" r="0" b="8255"/>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3535045"/>
                    </a:xfrm>
                    <a:prstGeom prst="rect">
                      <a:avLst/>
                    </a:prstGeom>
                  </pic:spPr>
                </pic:pic>
              </a:graphicData>
            </a:graphic>
          </wp:inline>
        </w:drawing>
      </w:r>
    </w:p>
    <w:p w:rsidR="004D4F61" w:rsidRPr="004D4F61" w:rsidRDefault="004D4F61" w:rsidP="004D4F61">
      <w:pPr>
        <w:jc w:val="center"/>
        <w:rPr>
          <w:rFonts w:ascii="Garamond" w:hAnsi="Garamond"/>
          <w:i/>
          <w:sz w:val="24"/>
          <w:szCs w:val="24"/>
        </w:rPr>
      </w:pPr>
      <w:r w:rsidRPr="004D4F61">
        <w:rPr>
          <w:rFonts w:ascii="Garamond" w:hAnsi="Garamond"/>
          <w:i/>
          <w:sz w:val="24"/>
          <w:szCs w:val="24"/>
        </w:rPr>
        <w:t>Localisation des espaces</w:t>
      </w:r>
      <w:r>
        <w:rPr>
          <w:rFonts w:ascii="Garamond" w:hAnsi="Garamond"/>
          <w:i/>
          <w:sz w:val="24"/>
          <w:szCs w:val="24"/>
        </w:rPr>
        <w:t xml:space="preserve"> du DAI</w:t>
      </w:r>
      <w:r w:rsidRPr="004D4F61">
        <w:rPr>
          <w:rFonts w:ascii="Garamond" w:hAnsi="Garamond"/>
          <w:i/>
          <w:sz w:val="24"/>
          <w:szCs w:val="24"/>
        </w:rPr>
        <w:t xml:space="preserve"> au sein du palais</w:t>
      </w:r>
    </w:p>
    <w:p w:rsidR="00BB496B" w:rsidRPr="004D4F61" w:rsidRDefault="00BB496B" w:rsidP="00BB496B">
      <w:pPr>
        <w:rPr>
          <w:rFonts w:ascii="Garamond" w:hAnsi="Garamond"/>
          <w:sz w:val="24"/>
          <w:szCs w:val="24"/>
        </w:rPr>
      </w:pPr>
      <w:r w:rsidRPr="004D4F61">
        <w:rPr>
          <w:rFonts w:ascii="Garamond" w:hAnsi="Garamond"/>
          <w:sz w:val="24"/>
          <w:szCs w:val="24"/>
        </w:rPr>
        <w:t>Le projet de refonte du parcours des Arts de l’Islam répond à la nécessité de mettre à jour la présentation des collections de ce département. Conçue initialement dans une approche structurée par l'histoire de l'art, la disposition des œuvres n’offre pas une vision civilisationnelle. Actuellement, elle ne permet pas de bien comprendre les liens qui l’unissent avec les autres cultures présentes dans cette aire géographique et leurs différenciations progressives. Le projet tend, d’une part, à créer des connexions entre les départements patrimoniaux, en établissant des points de contact inter-civilisationnels et, d’autre part, à offrir aux visiteurs un nouveau propos scientifique en s’appuyant sur une présentation des œuvres renouvelée ainsi que sur une médiation accessible à tous.</w:t>
      </w:r>
    </w:p>
    <w:p w:rsidR="00BB496B" w:rsidRPr="004D4F61" w:rsidRDefault="00BB496B" w:rsidP="00BB496B">
      <w:pPr>
        <w:rPr>
          <w:rFonts w:ascii="Garamond" w:hAnsi="Garamond"/>
          <w:sz w:val="24"/>
          <w:szCs w:val="24"/>
        </w:rPr>
      </w:pPr>
      <w:r w:rsidRPr="004D4F61">
        <w:rPr>
          <w:rFonts w:ascii="Garamond" w:hAnsi="Garamond"/>
          <w:sz w:val="24"/>
          <w:szCs w:val="24"/>
        </w:rPr>
        <w:t>Les principaux axes de cette refonte concernent :</w:t>
      </w:r>
    </w:p>
    <w:p w:rsidR="00BB496B" w:rsidRPr="004D4F61" w:rsidRDefault="00BB496B" w:rsidP="00BB496B">
      <w:pPr>
        <w:numPr>
          <w:ilvl w:val="0"/>
          <w:numId w:val="4"/>
        </w:numPr>
        <w:tabs>
          <w:tab w:val="clear" w:pos="284"/>
          <w:tab w:val="left" w:pos="567"/>
        </w:tabs>
        <w:ind w:left="567" w:hanging="567"/>
        <w:rPr>
          <w:rFonts w:ascii="Garamond" w:hAnsi="Garamond"/>
          <w:sz w:val="24"/>
          <w:szCs w:val="24"/>
        </w:rPr>
      </w:pPr>
      <w:r w:rsidRPr="004D4F61">
        <w:rPr>
          <w:rFonts w:ascii="Garamond" w:hAnsi="Garamond"/>
          <w:sz w:val="24"/>
          <w:szCs w:val="24"/>
        </w:rPr>
        <w:t>L’amélioration de l’accessibilité,</w:t>
      </w:r>
    </w:p>
    <w:p w:rsidR="00BB496B" w:rsidRPr="004D4F61" w:rsidRDefault="00BB496B" w:rsidP="00BB496B">
      <w:pPr>
        <w:numPr>
          <w:ilvl w:val="0"/>
          <w:numId w:val="4"/>
        </w:numPr>
        <w:tabs>
          <w:tab w:val="clear" w:pos="284"/>
          <w:tab w:val="left" w:pos="567"/>
        </w:tabs>
        <w:ind w:left="567" w:hanging="567"/>
        <w:rPr>
          <w:rFonts w:ascii="Garamond" w:hAnsi="Garamond"/>
          <w:sz w:val="24"/>
          <w:szCs w:val="24"/>
        </w:rPr>
      </w:pPr>
      <w:r w:rsidRPr="004D4F61">
        <w:rPr>
          <w:rFonts w:ascii="Garamond" w:hAnsi="Garamond"/>
          <w:sz w:val="24"/>
          <w:szCs w:val="24"/>
        </w:rPr>
        <w:lastRenderedPageBreak/>
        <w:t>La redéfinition des contenus et des présentations des collections,</w:t>
      </w:r>
    </w:p>
    <w:p w:rsidR="00BB496B" w:rsidRPr="004D4F61" w:rsidRDefault="00BB496B" w:rsidP="00BB496B">
      <w:pPr>
        <w:numPr>
          <w:ilvl w:val="0"/>
          <w:numId w:val="4"/>
        </w:numPr>
        <w:tabs>
          <w:tab w:val="clear" w:pos="284"/>
          <w:tab w:val="left" w:pos="567"/>
        </w:tabs>
        <w:ind w:left="567" w:hanging="567"/>
        <w:rPr>
          <w:rFonts w:ascii="Garamond" w:hAnsi="Garamond"/>
          <w:sz w:val="24"/>
          <w:szCs w:val="24"/>
        </w:rPr>
      </w:pPr>
      <w:r w:rsidRPr="004D4F61">
        <w:rPr>
          <w:rFonts w:ascii="Garamond" w:hAnsi="Garamond"/>
          <w:sz w:val="24"/>
          <w:szCs w:val="24"/>
        </w:rPr>
        <w:t>La recherche de nouvelles articulations et points de contact avec les autres départements (DABCO, DAGER),</w:t>
      </w:r>
    </w:p>
    <w:p w:rsidR="00BB496B" w:rsidRPr="004D4F61" w:rsidRDefault="00BB496B" w:rsidP="00BB496B">
      <w:pPr>
        <w:numPr>
          <w:ilvl w:val="0"/>
          <w:numId w:val="4"/>
        </w:numPr>
        <w:tabs>
          <w:tab w:val="clear" w:pos="284"/>
          <w:tab w:val="left" w:pos="567"/>
        </w:tabs>
        <w:ind w:left="567" w:hanging="567"/>
        <w:rPr>
          <w:rFonts w:ascii="Garamond" w:hAnsi="Garamond"/>
          <w:sz w:val="24"/>
          <w:szCs w:val="24"/>
        </w:rPr>
      </w:pPr>
      <w:r w:rsidRPr="004D4F61">
        <w:rPr>
          <w:rFonts w:ascii="Garamond" w:hAnsi="Garamond"/>
          <w:sz w:val="24"/>
          <w:szCs w:val="24"/>
        </w:rPr>
        <w:t>Le renforcement de la visibilité du département vis-à-vis des visiteurs afin de conforter son existence au sein du palais</w:t>
      </w:r>
    </w:p>
    <w:p w:rsidR="00BB496B" w:rsidRPr="004D4F61" w:rsidRDefault="00BB496B" w:rsidP="00BB496B">
      <w:pPr>
        <w:numPr>
          <w:ilvl w:val="0"/>
          <w:numId w:val="4"/>
        </w:numPr>
        <w:tabs>
          <w:tab w:val="clear" w:pos="284"/>
          <w:tab w:val="left" w:pos="567"/>
        </w:tabs>
        <w:ind w:left="567" w:hanging="567"/>
        <w:rPr>
          <w:rFonts w:ascii="Garamond" w:hAnsi="Garamond"/>
          <w:sz w:val="24"/>
          <w:szCs w:val="24"/>
        </w:rPr>
      </w:pPr>
      <w:r w:rsidRPr="004D4F61">
        <w:rPr>
          <w:rFonts w:ascii="Garamond" w:hAnsi="Garamond"/>
          <w:sz w:val="24"/>
          <w:szCs w:val="24"/>
        </w:rPr>
        <w:t>La mise en exergue de la singularité des arts de l’Islam tout autant que leur pluralité</w:t>
      </w:r>
    </w:p>
    <w:p w:rsidR="00BB496B" w:rsidRPr="004D4F61" w:rsidRDefault="00BB496B" w:rsidP="00BB496B">
      <w:pPr>
        <w:numPr>
          <w:ilvl w:val="0"/>
          <w:numId w:val="4"/>
        </w:numPr>
        <w:tabs>
          <w:tab w:val="clear" w:pos="284"/>
          <w:tab w:val="left" w:pos="567"/>
        </w:tabs>
        <w:ind w:left="567" w:hanging="567"/>
        <w:rPr>
          <w:rFonts w:ascii="Garamond" w:hAnsi="Garamond"/>
          <w:sz w:val="24"/>
          <w:szCs w:val="24"/>
        </w:rPr>
      </w:pPr>
      <w:r w:rsidRPr="004D4F61">
        <w:rPr>
          <w:rFonts w:ascii="Garamond" w:hAnsi="Garamond"/>
          <w:sz w:val="24"/>
          <w:szCs w:val="24"/>
        </w:rPr>
        <w:t xml:space="preserve">La mise en place d’une discussion entre la scénographie et les éléments architecturaux témoignant de différentes époques </w:t>
      </w:r>
    </w:p>
    <w:p w:rsidR="00BB496B" w:rsidRPr="004D4F61" w:rsidRDefault="00BB496B" w:rsidP="00BB496B">
      <w:pPr>
        <w:rPr>
          <w:rFonts w:ascii="Garamond" w:hAnsi="Garamond"/>
          <w:sz w:val="24"/>
          <w:szCs w:val="24"/>
        </w:rPr>
      </w:pPr>
      <w:r w:rsidRPr="004D4F61">
        <w:rPr>
          <w:rFonts w:ascii="Garamond" w:hAnsi="Garamond"/>
          <w:sz w:val="24"/>
          <w:szCs w:val="24"/>
        </w:rPr>
        <w:t>Le projet s’étend sur une superficie totale de 3 000 m² situé en rez-de-cour et parterre de la cour Visconti de l’aile Denon.</w:t>
      </w:r>
    </w:p>
    <w:p w:rsidR="00BB496B" w:rsidRPr="004D4F61" w:rsidRDefault="00BB496B" w:rsidP="00BB496B">
      <w:pPr>
        <w:rPr>
          <w:rFonts w:ascii="Garamond" w:hAnsi="Garamond"/>
          <w:sz w:val="24"/>
          <w:szCs w:val="24"/>
        </w:rPr>
      </w:pPr>
      <w:r w:rsidRPr="004D4F61">
        <w:rPr>
          <w:rFonts w:ascii="Garamond" w:hAnsi="Garamond"/>
          <w:sz w:val="24"/>
          <w:szCs w:val="24"/>
        </w:rPr>
        <w:t xml:space="preserve">Le présent marché comporte deux volets, un volet scénographique et un volet architectural et </w:t>
      </w:r>
      <w:r w:rsidR="004D4F61" w:rsidRPr="004D4F61">
        <w:rPr>
          <w:rFonts w:ascii="Garamond" w:hAnsi="Garamond"/>
          <w:sz w:val="24"/>
          <w:szCs w:val="24"/>
        </w:rPr>
        <w:t>technique :</w:t>
      </w:r>
      <w:r w:rsidRPr="004D4F61">
        <w:rPr>
          <w:rFonts w:ascii="Garamond" w:hAnsi="Garamond"/>
          <w:sz w:val="24"/>
          <w:szCs w:val="24"/>
        </w:rPr>
        <w:t xml:space="preserve"> </w:t>
      </w:r>
    </w:p>
    <w:p w:rsidR="00BB496B" w:rsidRPr="004D4F61" w:rsidRDefault="00BB496B" w:rsidP="00BB496B">
      <w:pPr>
        <w:numPr>
          <w:ilvl w:val="0"/>
          <w:numId w:val="3"/>
        </w:numPr>
        <w:tabs>
          <w:tab w:val="clear" w:pos="284"/>
          <w:tab w:val="clear" w:pos="9071"/>
          <w:tab w:val="left" w:pos="567"/>
          <w:tab w:val="right" w:pos="1418"/>
        </w:tabs>
        <w:spacing w:before="360" w:after="240" w:line="276" w:lineRule="auto"/>
        <w:ind w:hanging="1440"/>
        <w:rPr>
          <w:rFonts w:ascii="Garamond" w:hAnsi="Garamond"/>
          <w:b/>
          <w:caps/>
          <w:color w:val="auto"/>
          <w:sz w:val="24"/>
          <w:szCs w:val="24"/>
          <w:u w:val="single"/>
        </w:rPr>
      </w:pPr>
      <w:r w:rsidRPr="004D4F61">
        <w:rPr>
          <w:rFonts w:ascii="Garamond" w:hAnsi="Garamond"/>
          <w:b/>
          <w:caps/>
          <w:color w:val="auto"/>
          <w:sz w:val="24"/>
          <w:szCs w:val="24"/>
          <w:u w:val="single"/>
        </w:rPr>
        <w:t>Volet scénographique</w:t>
      </w:r>
    </w:p>
    <w:p w:rsidR="00BB496B" w:rsidRPr="004D4F61" w:rsidRDefault="00BB496B" w:rsidP="00BB496B">
      <w:pPr>
        <w:rPr>
          <w:rFonts w:ascii="Garamond" w:hAnsi="Garamond"/>
          <w:color w:val="auto"/>
          <w:sz w:val="24"/>
          <w:szCs w:val="24"/>
        </w:rPr>
      </w:pPr>
      <w:r w:rsidRPr="004D4F61">
        <w:rPr>
          <w:rFonts w:ascii="Garamond" w:hAnsi="Garamond"/>
          <w:color w:val="auto"/>
          <w:sz w:val="24"/>
          <w:szCs w:val="24"/>
        </w:rPr>
        <w:t>L</w:t>
      </w:r>
      <w:r w:rsidRPr="004D4F61">
        <w:rPr>
          <w:rFonts w:ascii="Garamond" w:hAnsi="Garamond"/>
          <w:sz w:val="24"/>
          <w:szCs w:val="24"/>
        </w:rPr>
        <w:t xml:space="preserve">e futur parcours du DAI sera déployé sur les deux niveaux parterre et rez-de-cour. Le sens du parcours muséographique sera à définir en fonction des propositions de l’architecte-scénographe. Toutefois, la structuration autour des quatre séquences devra être lisible de la part du visiteur grâce à une scénographie </w:t>
      </w:r>
      <w:r w:rsidR="004D4F61" w:rsidRPr="004D4F61">
        <w:rPr>
          <w:rFonts w:ascii="Garamond" w:hAnsi="Garamond"/>
          <w:sz w:val="24"/>
          <w:szCs w:val="24"/>
        </w:rPr>
        <w:t>intuitive :</w:t>
      </w:r>
    </w:p>
    <w:p w:rsidR="00BB496B" w:rsidRPr="004D4F61" w:rsidRDefault="00BB496B" w:rsidP="00BB496B">
      <w:pPr>
        <w:numPr>
          <w:ilvl w:val="0"/>
          <w:numId w:val="5"/>
        </w:numPr>
        <w:tabs>
          <w:tab w:val="clear" w:pos="284"/>
          <w:tab w:val="clear" w:pos="9071"/>
          <w:tab w:val="left" w:pos="567"/>
        </w:tabs>
        <w:spacing w:before="240" w:line="276" w:lineRule="auto"/>
        <w:ind w:left="426" w:hanging="426"/>
        <w:rPr>
          <w:rFonts w:ascii="Garamond" w:hAnsi="Garamond"/>
          <w:b/>
          <w:sz w:val="24"/>
          <w:szCs w:val="24"/>
          <w:u w:val="single"/>
        </w:rPr>
      </w:pPr>
      <w:r w:rsidRPr="004D4F61">
        <w:rPr>
          <w:rFonts w:ascii="Garamond" w:hAnsi="Garamond"/>
          <w:b/>
          <w:sz w:val="24"/>
          <w:szCs w:val="24"/>
          <w:u w:val="single"/>
        </w:rPr>
        <w:t xml:space="preserve">Niveau A </w:t>
      </w:r>
    </w:p>
    <w:p w:rsidR="00BB496B" w:rsidRPr="004D4F61" w:rsidRDefault="00BB496B" w:rsidP="00BB496B">
      <w:pPr>
        <w:rPr>
          <w:rFonts w:ascii="Garamond" w:hAnsi="Garamond"/>
          <w:sz w:val="24"/>
          <w:szCs w:val="24"/>
        </w:rPr>
      </w:pPr>
      <w:r w:rsidRPr="004D4F61">
        <w:rPr>
          <w:rFonts w:ascii="Garamond" w:hAnsi="Garamond"/>
          <w:sz w:val="24"/>
          <w:szCs w:val="24"/>
          <w:u w:val="single"/>
        </w:rPr>
        <w:t>Introduction</w:t>
      </w:r>
      <w:r w:rsidRPr="004D4F61">
        <w:rPr>
          <w:rFonts w:ascii="Garamond" w:hAnsi="Garamond"/>
          <w:sz w:val="24"/>
          <w:szCs w:val="24"/>
        </w:rPr>
        <w:t xml:space="preserve"> : L’espace d’introduction au département sera situé à gauche de l’entrée commune avec le DABCO. Il pourrait accueillir une médiation interactive afin de délimiter les cadres géographique et chronologique du parcours. </w:t>
      </w:r>
    </w:p>
    <w:p w:rsidR="00BB496B" w:rsidRPr="004D4F61" w:rsidRDefault="00BB496B" w:rsidP="00BB496B">
      <w:pPr>
        <w:rPr>
          <w:rFonts w:ascii="Garamond" w:hAnsi="Garamond"/>
          <w:sz w:val="24"/>
          <w:szCs w:val="24"/>
        </w:rPr>
      </w:pPr>
      <w:r w:rsidRPr="004D4F61">
        <w:rPr>
          <w:rFonts w:ascii="Garamond" w:hAnsi="Garamond"/>
          <w:sz w:val="24"/>
          <w:szCs w:val="24"/>
          <w:u w:val="single"/>
        </w:rPr>
        <w:t>Séquence 1 :</w:t>
      </w:r>
      <w:r w:rsidRPr="004D4F61">
        <w:rPr>
          <w:rFonts w:ascii="Garamond" w:hAnsi="Garamond"/>
          <w:sz w:val="24"/>
          <w:szCs w:val="24"/>
        </w:rPr>
        <w:t xml:space="preserve"> Le temps des Califes (7e -10e siècle), période formative, naissance d’une esthétique.</w:t>
      </w:r>
    </w:p>
    <w:p w:rsidR="00BB496B" w:rsidRPr="004D4F61" w:rsidRDefault="00BB496B" w:rsidP="00BB496B">
      <w:pPr>
        <w:rPr>
          <w:rFonts w:ascii="Garamond" w:hAnsi="Garamond"/>
          <w:sz w:val="24"/>
          <w:szCs w:val="24"/>
        </w:rPr>
      </w:pPr>
      <w:r w:rsidRPr="004D4F61">
        <w:rPr>
          <w:rFonts w:ascii="Garamond" w:hAnsi="Garamond"/>
          <w:sz w:val="24"/>
          <w:szCs w:val="24"/>
          <w:u w:val="single"/>
        </w:rPr>
        <w:t>Séquence 2 :</w:t>
      </w:r>
      <w:r w:rsidRPr="004D4F61">
        <w:rPr>
          <w:rFonts w:ascii="Garamond" w:hAnsi="Garamond"/>
          <w:sz w:val="24"/>
          <w:szCs w:val="24"/>
        </w:rPr>
        <w:t xml:space="preserve"> Le temps des Sultans (11e -15e siècle), Al-Batin wa Al-Zahir, un nouveau langage entre imaginaire et abstraction.</w:t>
      </w:r>
    </w:p>
    <w:p w:rsidR="00BB496B" w:rsidRPr="004D4F61" w:rsidRDefault="00BB496B" w:rsidP="00BB496B">
      <w:pPr>
        <w:numPr>
          <w:ilvl w:val="0"/>
          <w:numId w:val="5"/>
        </w:numPr>
        <w:tabs>
          <w:tab w:val="clear" w:pos="284"/>
          <w:tab w:val="left" w:pos="567"/>
        </w:tabs>
        <w:spacing w:before="240" w:line="276" w:lineRule="auto"/>
        <w:ind w:left="567" w:hanging="567"/>
        <w:rPr>
          <w:rFonts w:ascii="Garamond" w:hAnsi="Garamond"/>
          <w:b/>
          <w:sz w:val="24"/>
          <w:szCs w:val="24"/>
          <w:u w:val="single"/>
        </w:rPr>
      </w:pPr>
      <w:r w:rsidRPr="004D4F61">
        <w:rPr>
          <w:rFonts w:ascii="Garamond" w:hAnsi="Garamond"/>
          <w:b/>
          <w:sz w:val="24"/>
          <w:szCs w:val="24"/>
          <w:u w:val="single"/>
        </w:rPr>
        <w:t xml:space="preserve">Niveau B </w:t>
      </w:r>
    </w:p>
    <w:p w:rsidR="00BB496B" w:rsidRPr="004D4F61" w:rsidRDefault="00BB496B" w:rsidP="00BB496B">
      <w:pPr>
        <w:rPr>
          <w:rFonts w:ascii="Garamond" w:hAnsi="Garamond"/>
          <w:sz w:val="24"/>
          <w:szCs w:val="24"/>
        </w:rPr>
      </w:pPr>
      <w:r w:rsidRPr="004D4F61">
        <w:rPr>
          <w:rFonts w:ascii="Garamond" w:hAnsi="Garamond"/>
          <w:sz w:val="24"/>
          <w:szCs w:val="24"/>
          <w:u w:val="single"/>
        </w:rPr>
        <w:t>Séquence 3 :</w:t>
      </w:r>
      <w:r w:rsidRPr="004D4F61">
        <w:rPr>
          <w:rFonts w:ascii="Garamond" w:hAnsi="Garamond"/>
          <w:sz w:val="24"/>
          <w:szCs w:val="24"/>
        </w:rPr>
        <w:t xml:space="preserve"> Empires connectés : le temps de la globalisation (16e -19e siècle)</w:t>
      </w:r>
    </w:p>
    <w:p w:rsidR="00BB496B" w:rsidRPr="004D4F61" w:rsidRDefault="00BB496B" w:rsidP="00BB496B">
      <w:pPr>
        <w:rPr>
          <w:rFonts w:ascii="Garamond" w:hAnsi="Garamond"/>
          <w:sz w:val="24"/>
          <w:szCs w:val="24"/>
        </w:rPr>
      </w:pPr>
      <w:r w:rsidRPr="004D4F61">
        <w:rPr>
          <w:rFonts w:ascii="Garamond" w:hAnsi="Garamond"/>
          <w:sz w:val="24"/>
          <w:szCs w:val="24"/>
          <w:u w:val="single"/>
        </w:rPr>
        <w:t>Séquence 4 :</w:t>
      </w:r>
      <w:r w:rsidRPr="004D4F61">
        <w:rPr>
          <w:rFonts w:ascii="Garamond" w:hAnsi="Garamond"/>
          <w:sz w:val="24"/>
          <w:szCs w:val="24"/>
        </w:rPr>
        <w:t xml:space="preserve"> Regards croisés : occidentalisme/ Orientalisme (19e – 20e siècle)</w:t>
      </w:r>
    </w:p>
    <w:p w:rsidR="00BB496B" w:rsidRPr="004D4F61" w:rsidRDefault="00BB496B" w:rsidP="00BB496B">
      <w:pPr>
        <w:spacing w:after="200"/>
        <w:rPr>
          <w:rFonts w:ascii="Garamond" w:hAnsi="Garamond"/>
          <w:sz w:val="24"/>
          <w:szCs w:val="24"/>
        </w:rPr>
      </w:pPr>
      <w:r w:rsidRPr="004D4F61">
        <w:rPr>
          <w:rFonts w:ascii="Garamond" w:hAnsi="Garamond"/>
          <w:sz w:val="24"/>
          <w:szCs w:val="24"/>
          <w:u w:val="single"/>
        </w:rPr>
        <w:t>Espace de transition :</w:t>
      </w:r>
      <w:r w:rsidRPr="004D4F61">
        <w:rPr>
          <w:rFonts w:ascii="Garamond" w:hAnsi="Garamond"/>
          <w:sz w:val="24"/>
          <w:szCs w:val="24"/>
        </w:rPr>
        <w:t xml:space="preserve"> Passé &amp; présent</w:t>
      </w:r>
    </w:p>
    <w:p w:rsidR="00BB496B" w:rsidRPr="004D4F61" w:rsidRDefault="00BB496B" w:rsidP="00BB496B">
      <w:pPr>
        <w:spacing w:before="0" w:after="200"/>
        <w:rPr>
          <w:rFonts w:ascii="Garamond" w:hAnsi="Garamond"/>
          <w:sz w:val="24"/>
          <w:szCs w:val="24"/>
        </w:rPr>
      </w:pPr>
      <w:r w:rsidRPr="004D4F61">
        <w:rPr>
          <w:rFonts w:ascii="Garamond" w:hAnsi="Garamond"/>
          <w:sz w:val="24"/>
          <w:szCs w:val="24"/>
        </w:rPr>
        <w:t xml:space="preserve">A travers l’ensemble du parcours permanent, quatre fils rouges permettront de tisser des relations à travers les époques : </w:t>
      </w:r>
    </w:p>
    <w:p w:rsidR="00BB496B" w:rsidRPr="004D4F61" w:rsidRDefault="00BB496B" w:rsidP="00BB496B">
      <w:pPr>
        <w:numPr>
          <w:ilvl w:val="0"/>
          <w:numId w:val="13"/>
        </w:numPr>
        <w:tabs>
          <w:tab w:val="clear" w:pos="284"/>
          <w:tab w:val="left" w:pos="567"/>
        </w:tabs>
        <w:ind w:left="567" w:hanging="567"/>
        <w:rPr>
          <w:rFonts w:ascii="Garamond" w:hAnsi="Garamond"/>
          <w:sz w:val="24"/>
          <w:szCs w:val="24"/>
        </w:rPr>
      </w:pPr>
      <w:r w:rsidRPr="004D4F61">
        <w:rPr>
          <w:rFonts w:ascii="Garamond" w:hAnsi="Garamond"/>
          <w:sz w:val="24"/>
          <w:szCs w:val="24"/>
        </w:rPr>
        <w:t>Les transferts : L’Islam des routes, Islam connecté</w:t>
      </w:r>
    </w:p>
    <w:p w:rsidR="00BB496B" w:rsidRPr="004D4F61" w:rsidRDefault="00BB496B" w:rsidP="00BB496B">
      <w:pPr>
        <w:numPr>
          <w:ilvl w:val="0"/>
          <w:numId w:val="13"/>
        </w:numPr>
        <w:tabs>
          <w:tab w:val="clear" w:pos="284"/>
          <w:tab w:val="left" w:pos="567"/>
        </w:tabs>
        <w:ind w:left="567" w:hanging="567"/>
        <w:rPr>
          <w:rFonts w:ascii="Garamond" w:hAnsi="Garamond"/>
          <w:sz w:val="24"/>
          <w:szCs w:val="24"/>
        </w:rPr>
      </w:pPr>
      <w:r w:rsidRPr="004D4F61">
        <w:rPr>
          <w:rFonts w:ascii="Garamond" w:hAnsi="Garamond"/>
          <w:sz w:val="24"/>
          <w:szCs w:val="24"/>
        </w:rPr>
        <w:t>L’étrange et le merveilleux</w:t>
      </w:r>
    </w:p>
    <w:p w:rsidR="00BB496B" w:rsidRPr="004D4F61" w:rsidRDefault="00BB496B" w:rsidP="00BB496B">
      <w:pPr>
        <w:numPr>
          <w:ilvl w:val="0"/>
          <w:numId w:val="13"/>
        </w:numPr>
        <w:tabs>
          <w:tab w:val="clear" w:pos="284"/>
          <w:tab w:val="left" w:pos="567"/>
        </w:tabs>
        <w:ind w:left="567" w:hanging="567"/>
        <w:rPr>
          <w:rFonts w:ascii="Garamond" w:hAnsi="Garamond"/>
          <w:sz w:val="24"/>
          <w:szCs w:val="24"/>
        </w:rPr>
      </w:pPr>
      <w:r w:rsidRPr="004D4F61">
        <w:rPr>
          <w:rFonts w:ascii="Garamond" w:hAnsi="Garamond"/>
          <w:sz w:val="24"/>
          <w:szCs w:val="24"/>
        </w:rPr>
        <w:t xml:space="preserve">L’abstrait : Le verbe, la lettre et le compas </w:t>
      </w:r>
    </w:p>
    <w:p w:rsidR="00BB496B" w:rsidRPr="004D4F61" w:rsidRDefault="00BB496B" w:rsidP="00BB496B">
      <w:pPr>
        <w:rPr>
          <w:rFonts w:ascii="Garamond" w:hAnsi="Garamond"/>
          <w:i/>
          <w:sz w:val="24"/>
          <w:szCs w:val="24"/>
        </w:rPr>
      </w:pPr>
      <w:r w:rsidRPr="004D4F61">
        <w:rPr>
          <w:rFonts w:ascii="Garamond" w:hAnsi="Garamond"/>
          <w:i/>
          <w:sz w:val="24"/>
          <w:szCs w:val="24"/>
        </w:rPr>
        <w:t>Ces thématiques sont détaillés au sein du projet scientifique et culturel (PSC)</w:t>
      </w:r>
    </w:p>
    <w:p w:rsidR="00BB496B" w:rsidRPr="004D4F61" w:rsidRDefault="00BB496B" w:rsidP="00BB496B">
      <w:pPr>
        <w:numPr>
          <w:ilvl w:val="0"/>
          <w:numId w:val="6"/>
        </w:numPr>
        <w:tabs>
          <w:tab w:val="clear" w:pos="284"/>
          <w:tab w:val="left" w:pos="567"/>
        </w:tabs>
        <w:spacing w:before="240" w:line="276" w:lineRule="auto"/>
        <w:ind w:left="567" w:hanging="567"/>
        <w:rPr>
          <w:rFonts w:ascii="Garamond" w:hAnsi="Garamond"/>
          <w:b/>
          <w:sz w:val="24"/>
          <w:szCs w:val="24"/>
          <w:u w:val="single"/>
        </w:rPr>
      </w:pPr>
      <w:r w:rsidRPr="004D4F61">
        <w:rPr>
          <w:rFonts w:ascii="Garamond" w:hAnsi="Garamond"/>
          <w:b/>
          <w:sz w:val="24"/>
          <w:szCs w:val="24"/>
          <w:u w:val="single"/>
        </w:rPr>
        <w:t xml:space="preserve">Salle 187 : salle sous l’aile Daru </w:t>
      </w:r>
    </w:p>
    <w:p w:rsidR="00BB496B" w:rsidRPr="004D4F61" w:rsidRDefault="00BB496B" w:rsidP="00BB496B">
      <w:pPr>
        <w:spacing w:after="200" w:line="276" w:lineRule="auto"/>
        <w:rPr>
          <w:rFonts w:ascii="Garamond" w:hAnsi="Garamond"/>
          <w:sz w:val="24"/>
          <w:szCs w:val="24"/>
        </w:rPr>
      </w:pPr>
      <w:r w:rsidRPr="004D4F61">
        <w:rPr>
          <w:rFonts w:ascii="Garamond" w:hAnsi="Garamond"/>
          <w:sz w:val="24"/>
          <w:szCs w:val="24"/>
        </w:rPr>
        <w:t>En parallèle du parcours permanent chrono-thématique, il sera déployé sous l’aile Daru, quatre espaces ayant des approches plus spécifiques :</w:t>
      </w:r>
    </w:p>
    <w:p w:rsidR="00BB496B" w:rsidRPr="004D4F61" w:rsidRDefault="00BB496B" w:rsidP="00BB496B">
      <w:pPr>
        <w:spacing w:after="200" w:line="276" w:lineRule="auto"/>
        <w:rPr>
          <w:rFonts w:ascii="Garamond" w:hAnsi="Garamond"/>
          <w:sz w:val="24"/>
          <w:szCs w:val="24"/>
        </w:rPr>
      </w:pPr>
      <w:r w:rsidRPr="004D4F61">
        <w:rPr>
          <w:rFonts w:ascii="Garamond" w:hAnsi="Garamond"/>
          <w:sz w:val="24"/>
          <w:szCs w:val="24"/>
          <w:u w:val="single"/>
        </w:rPr>
        <w:lastRenderedPageBreak/>
        <w:t>Installation tapis</w:t>
      </w:r>
      <w:r w:rsidRPr="004D4F61">
        <w:rPr>
          <w:rFonts w:ascii="Garamond" w:hAnsi="Garamond"/>
          <w:sz w:val="24"/>
          <w:szCs w:val="24"/>
        </w:rPr>
        <w:t xml:space="preserve"> : ce lieu sera dédié à la présentation de tapis et réunira une sélection des plus belles œuvres de la collection avec des rotations de 6 mois. </w:t>
      </w:r>
    </w:p>
    <w:p w:rsidR="00BB496B" w:rsidRPr="004D4F61" w:rsidRDefault="00BB496B" w:rsidP="00BB496B">
      <w:pPr>
        <w:spacing w:after="200" w:line="276" w:lineRule="auto"/>
        <w:rPr>
          <w:rFonts w:ascii="Garamond" w:hAnsi="Garamond"/>
          <w:sz w:val="24"/>
          <w:szCs w:val="24"/>
        </w:rPr>
      </w:pPr>
      <w:r w:rsidRPr="004D4F61">
        <w:rPr>
          <w:rFonts w:ascii="Garamond" w:hAnsi="Garamond"/>
          <w:sz w:val="24"/>
          <w:szCs w:val="24"/>
          <w:u w:val="single"/>
        </w:rPr>
        <w:t>Chambre de Damas</w:t>
      </w:r>
      <w:r w:rsidRPr="004D4F61">
        <w:rPr>
          <w:rFonts w:ascii="Garamond" w:hAnsi="Garamond"/>
          <w:sz w:val="24"/>
          <w:szCs w:val="24"/>
        </w:rPr>
        <w:t> : l’installation d’une chambre damascène permettra une plongée quasi immersive dans l’histoire du goût à la période moderne.</w:t>
      </w:r>
    </w:p>
    <w:p w:rsidR="00BB496B" w:rsidRPr="004D4F61" w:rsidRDefault="00BB496B" w:rsidP="00BB496B">
      <w:pPr>
        <w:spacing w:after="200" w:line="276" w:lineRule="auto"/>
        <w:rPr>
          <w:rFonts w:ascii="Garamond" w:hAnsi="Garamond"/>
          <w:sz w:val="24"/>
          <w:szCs w:val="24"/>
        </w:rPr>
      </w:pPr>
      <w:r w:rsidRPr="004D4F61">
        <w:rPr>
          <w:rFonts w:ascii="Garamond" w:hAnsi="Garamond"/>
          <w:sz w:val="24"/>
          <w:szCs w:val="24"/>
          <w:u w:val="single"/>
        </w:rPr>
        <w:t>Salle des d’actualités</w:t>
      </w:r>
      <w:r w:rsidRPr="004D4F61">
        <w:rPr>
          <w:rFonts w:ascii="Garamond" w:hAnsi="Garamond"/>
          <w:sz w:val="24"/>
          <w:szCs w:val="24"/>
        </w:rPr>
        <w:t xml:space="preserve"> : l’enjeu est d’inscrire le département dans un dialogue avec les arts contemporains et les dernières avancées de la recherche du département.  </w:t>
      </w:r>
    </w:p>
    <w:p w:rsidR="00BB496B" w:rsidRPr="004D4F61" w:rsidRDefault="00BB496B" w:rsidP="00BB496B">
      <w:pPr>
        <w:spacing w:after="200" w:line="276" w:lineRule="auto"/>
        <w:rPr>
          <w:rFonts w:ascii="Garamond" w:hAnsi="Garamond"/>
          <w:sz w:val="24"/>
          <w:szCs w:val="24"/>
        </w:rPr>
      </w:pPr>
      <w:r w:rsidRPr="004D4F61">
        <w:rPr>
          <w:rFonts w:ascii="Garamond" w:hAnsi="Garamond"/>
          <w:sz w:val="24"/>
          <w:szCs w:val="24"/>
          <w:u w:val="single"/>
        </w:rPr>
        <w:t>Porche Mamlouk</w:t>
      </w:r>
      <w:r w:rsidRPr="004D4F61">
        <w:rPr>
          <w:rFonts w:ascii="Garamond" w:hAnsi="Garamond"/>
          <w:sz w:val="24"/>
          <w:szCs w:val="24"/>
        </w:rPr>
        <w:t> : il est demandé d’étudier la faisabilité de son déplacement en cohérence avec le redéploiement des collections selon les sections listées ci-dessus et le budget alloué.</w:t>
      </w:r>
    </w:p>
    <w:p w:rsidR="00BB496B" w:rsidRPr="004D4F61" w:rsidRDefault="00BB496B" w:rsidP="00BB496B">
      <w:pPr>
        <w:spacing w:after="200" w:line="276" w:lineRule="auto"/>
        <w:rPr>
          <w:rFonts w:ascii="Garamond" w:hAnsi="Garamond"/>
          <w:sz w:val="24"/>
          <w:szCs w:val="24"/>
        </w:rPr>
      </w:pPr>
      <w:r w:rsidRPr="004D4F61">
        <w:rPr>
          <w:rFonts w:ascii="Garamond" w:hAnsi="Garamond"/>
          <w:sz w:val="24"/>
          <w:szCs w:val="24"/>
          <w:u w:val="single"/>
        </w:rPr>
        <w:t>Espace de médiation dédié au jeune public</w:t>
      </w:r>
      <w:r w:rsidRPr="004D4F61">
        <w:rPr>
          <w:rFonts w:ascii="Garamond" w:hAnsi="Garamond"/>
          <w:sz w:val="24"/>
          <w:szCs w:val="24"/>
        </w:rPr>
        <w:t> : à travers un dispositif de médiation adapté à l’échelle des enfants, des œuvres seront présentées en écho au programme scolaire de la maternelle au secondaire.</w:t>
      </w:r>
    </w:p>
    <w:p w:rsidR="00BB496B" w:rsidRPr="004D4F61" w:rsidRDefault="00BB496B" w:rsidP="00BB496B">
      <w:pPr>
        <w:numPr>
          <w:ilvl w:val="0"/>
          <w:numId w:val="6"/>
        </w:numPr>
        <w:tabs>
          <w:tab w:val="clear" w:pos="284"/>
          <w:tab w:val="left" w:pos="567"/>
        </w:tabs>
        <w:spacing w:before="240" w:line="276" w:lineRule="auto"/>
        <w:ind w:left="567" w:hanging="567"/>
        <w:rPr>
          <w:rFonts w:ascii="Garamond" w:hAnsi="Garamond"/>
          <w:b/>
          <w:sz w:val="24"/>
          <w:szCs w:val="24"/>
          <w:u w:val="single"/>
        </w:rPr>
      </w:pPr>
      <w:r w:rsidRPr="004D4F61">
        <w:rPr>
          <w:rFonts w:ascii="Garamond" w:hAnsi="Garamond"/>
          <w:b/>
          <w:sz w:val="24"/>
          <w:szCs w:val="24"/>
          <w:u w:val="single"/>
        </w:rPr>
        <w:t>Sous l’escalier de la salle 186 :</w:t>
      </w:r>
    </w:p>
    <w:p w:rsidR="00BB496B" w:rsidRPr="004D4F61" w:rsidRDefault="00BB496B" w:rsidP="00BB496B">
      <w:pPr>
        <w:rPr>
          <w:rFonts w:ascii="Garamond" w:hAnsi="Garamond"/>
          <w:sz w:val="24"/>
          <w:szCs w:val="24"/>
        </w:rPr>
      </w:pPr>
      <w:r w:rsidRPr="004D4F61">
        <w:rPr>
          <w:rFonts w:ascii="Garamond" w:hAnsi="Garamond"/>
          <w:sz w:val="24"/>
          <w:szCs w:val="24"/>
        </w:rPr>
        <w:t xml:space="preserve">Cet espace est actuellement dédié à la présentation d’œuvre. Cependant, il s’inscrit difficilement dans le parcours de visite. L’enjeu sera donc de proposer un espace de médiation et de respiration dans le cheminement des visiteurs. Les partis scénographiques devront permettre la mise en valeur du projet de Rudy Ricciotti grâce une mise en exergue l’escalier actuel. </w:t>
      </w:r>
    </w:p>
    <w:p w:rsidR="00BB496B" w:rsidRPr="004D4F61" w:rsidRDefault="00BB496B" w:rsidP="00BB496B">
      <w:pPr>
        <w:numPr>
          <w:ilvl w:val="0"/>
          <w:numId w:val="6"/>
        </w:numPr>
        <w:tabs>
          <w:tab w:val="clear" w:pos="284"/>
          <w:tab w:val="left" w:pos="567"/>
        </w:tabs>
        <w:spacing w:before="240" w:line="276" w:lineRule="auto"/>
        <w:ind w:left="567" w:hanging="567"/>
        <w:rPr>
          <w:rFonts w:ascii="Garamond" w:hAnsi="Garamond"/>
          <w:sz w:val="24"/>
          <w:szCs w:val="24"/>
          <w:u w:val="single"/>
        </w:rPr>
      </w:pPr>
      <w:r w:rsidRPr="004D4F61">
        <w:rPr>
          <w:rFonts w:ascii="Garamond" w:hAnsi="Garamond"/>
          <w:b/>
          <w:sz w:val="24"/>
          <w:szCs w:val="24"/>
          <w:u w:val="single"/>
        </w:rPr>
        <w:t>Présentation des arts graphiques</w:t>
      </w:r>
      <w:r w:rsidRPr="004D4F61">
        <w:rPr>
          <w:rFonts w:ascii="Garamond" w:hAnsi="Garamond"/>
          <w:sz w:val="24"/>
          <w:szCs w:val="24"/>
          <w:u w:val="single"/>
        </w:rPr>
        <w:t xml:space="preserve"> : </w:t>
      </w:r>
    </w:p>
    <w:p w:rsidR="00BB496B" w:rsidRPr="004D4F61" w:rsidRDefault="00BB496B" w:rsidP="00BB496B">
      <w:pPr>
        <w:rPr>
          <w:rFonts w:ascii="Garamond" w:hAnsi="Garamond"/>
          <w:sz w:val="24"/>
          <w:szCs w:val="24"/>
        </w:rPr>
      </w:pPr>
      <w:r w:rsidRPr="004D4F61">
        <w:rPr>
          <w:rFonts w:ascii="Garamond" w:hAnsi="Garamond"/>
          <w:sz w:val="24"/>
          <w:szCs w:val="24"/>
        </w:rPr>
        <w:t>Il devra être prévu un dispositif pour la présentation pour les arts graphiques pour valoriser des œuvres particulièrement fragiles présentées dans des conditions de conservation optimales. Proposé au sein du parcours permanent ou au sein d’un espace dédié, les œuvres devront pour connaître une rotation régulière.</w:t>
      </w:r>
    </w:p>
    <w:p w:rsidR="00BB496B" w:rsidRPr="004D4F61" w:rsidRDefault="00BB496B" w:rsidP="00BB496B">
      <w:pPr>
        <w:rPr>
          <w:rFonts w:ascii="Garamond" w:hAnsi="Garamond"/>
          <w:color w:val="auto"/>
          <w:sz w:val="24"/>
          <w:szCs w:val="24"/>
        </w:rPr>
      </w:pPr>
      <w:r w:rsidRPr="004D4F61">
        <w:rPr>
          <w:rFonts w:ascii="Garamond" w:hAnsi="Garamond"/>
          <w:color w:val="auto"/>
          <w:sz w:val="24"/>
          <w:szCs w:val="24"/>
        </w:rPr>
        <w:t>Les intentions du département pour chacune de ces séquences ont été détaillées dans un document développant les enjeux scientifiques, de médiation et les intentions scénographiques : le Programme Scientifique et Culturel (PSC).</w:t>
      </w:r>
    </w:p>
    <w:p w:rsidR="00BB496B" w:rsidRPr="004D4F61" w:rsidRDefault="00BB496B" w:rsidP="00BB496B">
      <w:pPr>
        <w:rPr>
          <w:rFonts w:ascii="Garamond" w:hAnsi="Garamond"/>
          <w:color w:val="auto"/>
          <w:sz w:val="24"/>
          <w:szCs w:val="24"/>
        </w:rPr>
      </w:pPr>
    </w:p>
    <w:p w:rsidR="00BB496B" w:rsidRPr="004D4F61" w:rsidRDefault="00BB496B" w:rsidP="00BB496B">
      <w:pPr>
        <w:rPr>
          <w:rFonts w:ascii="Garamond" w:hAnsi="Garamond"/>
          <w:i/>
          <w:sz w:val="24"/>
          <w:szCs w:val="24"/>
        </w:rPr>
      </w:pPr>
    </w:p>
    <w:p w:rsidR="00BB496B" w:rsidRPr="004D4F61" w:rsidRDefault="00BB496B" w:rsidP="00BB496B">
      <w:pPr>
        <w:numPr>
          <w:ilvl w:val="0"/>
          <w:numId w:val="7"/>
        </w:numPr>
        <w:tabs>
          <w:tab w:val="clear" w:pos="284"/>
          <w:tab w:val="left" w:pos="567"/>
        </w:tabs>
        <w:spacing w:before="240" w:line="276" w:lineRule="auto"/>
        <w:ind w:left="567" w:hanging="567"/>
        <w:rPr>
          <w:rFonts w:ascii="Garamond" w:hAnsi="Garamond"/>
          <w:b/>
          <w:i/>
          <w:sz w:val="24"/>
          <w:szCs w:val="24"/>
          <w:u w:val="single"/>
        </w:rPr>
      </w:pPr>
      <w:r w:rsidRPr="004D4F61">
        <w:rPr>
          <w:rFonts w:ascii="Garamond" w:hAnsi="Garamond"/>
          <w:b/>
          <w:i/>
          <w:sz w:val="24"/>
          <w:szCs w:val="24"/>
          <w:u w:val="single"/>
        </w:rPr>
        <w:t>Interfaces entre les parcours du DAI et du DABCO</w:t>
      </w:r>
    </w:p>
    <w:p w:rsidR="00BB496B" w:rsidRPr="004D4F61" w:rsidRDefault="00BB496B" w:rsidP="00BB496B">
      <w:pPr>
        <w:rPr>
          <w:rFonts w:ascii="Garamond" w:hAnsi="Garamond"/>
          <w:sz w:val="24"/>
          <w:szCs w:val="24"/>
        </w:rPr>
      </w:pPr>
      <w:r w:rsidRPr="004D4F61">
        <w:rPr>
          <w:rFonts w:ascii="Garamond" w:hAnsi="Garamond"/>
          <w:sz w:val="24"/>
          <w:szCs w:val="24"/>
        </w:rPr>
        <w:t xml:space="preserve">Au niveau du rez-de-cour, afin de créer un parcours complet, la </w:t>
      </w:r>
      <w:r w:rsidRPr="004D4F61">
        <w:rPr>
          <w:rFonts w:ascii="Garamond" w:hAnsi="Garamond"/>
          <w:b/>
          <w:sz w:val="24"/>
          <w:szCs w:val="24"/>
        </w:rPr>
        <w:t>salle 183</w:t>
      </w:r>
      <w:r w:rsidRPr="004D4F61">
        <w:rPr>
          <w:rFonts w:ascii="Garamond" w:hAnsi="Garamond"/>
          <w:sz w:val="24"/>
          <w:szCs w:val="24"/>
        </w:rPr>
        <w:t xml:space="preserve"> - palier Denon - accueillera un dialogue autour des trois religions monothéistes en guise d’introduction au DABCO et au DAI. Cette séquence sera traitée dans le cadre du marché de scénographie des parcours romain et byzantin et en concertation avec le titulaire du présent marché. Au sein de la salle 185, depuis les mezzanines, les vues en plongées vers le DABCO devront être sublimées pour mettre en place un dialogue esthétique entre les deux départements nourrissant une médiation intuitive.</w:t>
      </w:r>
    </w:p>
    <w:p w:rsidR="00BB496B" w:rsidRPr="004D4F61" w:rsidRDefault="00BB496B" w:rsidP="00BB496B">
      <w:pPr>
        <w:rPr>
          <w:rFonts w:ascii="Garamond" w:hAnsi="Garamond"/>
          <w:sz w:val="24"/>
          <w:szCs w:val="24"/>
        </w:rPr>
      </w:pPr>
      <w:r w:rsidRPr="004D4F61">
        <w:rPr>
          <w:rFonts w:ascii="Garamond" w:hAnsi="Garamond"/>
          <w:sz w:val="24"/>
          <w:szCs w:val="24"/>
        </w:rPr>
        <w:t xml:space="preserve">Il en est de même pour l’espace préambule prévu dans la </w:t>
      </w:r>
      <w:r w:rsidRPr="004D4F61">
        <w:rPr>
          <w:rFonts w:ascii="Garamond" w:hAnsi="Garamond"/>
          <w:b/>
          <w:sz w:val="24"/>
          <w:szCs w:val="24"/>
        </w:rPr>
        <w:t>salle 186</w:t>
      </w:r>
      <w:r w:rsidRPr="004D4F61">
        <w:rPr>
          <w:rFonts w:ascii="Garamond" w:hAnsi="Garamond"/>
          <w:sz w:val="24"/>
          <w:szCs w:val="24"/>
        </w:rPr>
        <w:t> qui</w:t>
      </w:r>
      <w:r w:rsidRPr="004D4F61">
        <w:rPr>
          <w:rFonts w:ascii="Garamond" w:hAnsi="Garamond"/>
          <w:b/>
          <w:sz w:val="24"/>
          <w:szCs w:val="24"/>
        </w:rPr>
        <w:t xml:space="preserve"> </w:t>
      </w:r>
      <w:r w:rsidRPr="004D4F61">
        <w:rPr>
          <w:rFonts w:ascii="Garamond" w:hAnsi="Garamond"/>
          <w:sz w:val="24"/>
          <w:szCs w:val="24"/>
        </w:rPr>
        <w:t>est un espace de jonction des deux parcours (DAI et DABCO) et qui fera l’objet d’une concertation minutieuse avec l’architecte-scénographe en charge du parcours byzantin. Cette séquence sera traitée dans le cadre du marché de scénographie des parcours romain et byzantin et en concertation avec le titulaire du présent marché</w:t>
      </w:r>
    </w:p>
    <w:p w:rsidR="00BB496B" w:rsidRPr="004D4F61" w:rsidRDefault="00BB496B" w:rsidP="00BB496B">
      <w:pPr>
        <w:rPr>
          <w:rFonts w:ascii="Garamond" w:hAnsi="Garamond"/>
          <w:sz w:val="24"/>
          <w:szCs w:val="24"/>
        </w:rPr>
      </w:pPr>
      <w:r w:rsidRPr="004D4F61">
        <w:rPr>
          <w:rFonts w:ascii="Garamond" w:hAnsi="Garamond"/>
          <w:sz w:val="24"/>
          <w:szCs w:val="24"/>
        </w:rPr>
        <w:lastRenderedPageBreak/>
        <w:t xml:space="preserve">Au niveau du parterre, il existe des lieux de croisements entre les parcours du DAI et du DABCO situés au sud de la salle 186. Les jonctions avec les </w:t>
      </w:r>
      <w:r w:rsidRPr="004D4F61">
        <w:rPr>
          <w:rFonts w:ascii="Garamond" w:hAnsi="Garamond"/>
          <w:b/>
          <w:sz w:val="24"/>
          <w:szCs w:val="24"/>
        </w:rPr>
        <w:t>circulations verticales</w:t>
      </w:r>
      <w:r w:rsidRPr="004D4F61">
        <w:rPr>
          <w:rFonts w:ascii="Garamond" w:hAnsi="Garamond"/>
          <w:sz w:val="24"/>
          <w:szCs w:val="24"/>
        </w:rPr>
        <w:t xml:space="preserve"> ayant un rôle de pivot dans le parcours de visite, une attention particulière devra être portée à ces espaces pour permettre aux visiteurs de s’orienter dans le parcours de visite. Ces éléments devront faire l’objet de discussions avec la maîtrise d’œuvre des parcours romain et byzantin. </w:t>
      </w:r>
      <w:r w:rsidRPr="00540E01">
        <w:rPr>
          <w:rFonts w:ascii="Garamond" w:hAnsi="Garamond"/>
          <w:sz w:val="24"/>
          <w:szCs w:val="24"/>
        </w:rPr>
        <w:t>Ces</w:t>
      </w:r>
      <w:r w:rsidRPr="00540E01">
        <w:rPr>
          <w:rFonts w:ascii="Garamond" w:hAnsi="Garamond"/>
          <w:b/>
          <w:sz w:val="24"/>
          <w:szCs w:val="24"/>
        </w:rPr>
        <w:t xml:space="preserve"> </w:t>
      </w:r>
      <w:r w:rsidRPr="00540E01">
        <w:rPr>
          <w:rFonts w:ascii="Garamond" w:hAnsi="Garamond"/>
          <w:sz w:val="24"/>
          <w:szCs w:val="24"/>
        </w:rPr>
        <w:t>séquences seront</w:t>
      </w:r>
      <w:r w:rsidRPr="004D4F61">
        <w:rPr>
          <w:rFonts w:ascii="Garamond" w:hAnsi="Garamond"/>
          <w:sz w:val="24"/>
          <w:szCs w:val="24"/>
        </w:rPr>
        <w:t xml:space="preserve"> traitées dans le cadre du marché de scénographie des</w:t>
      </w:r>
      <w:r w:rsidR="00540E01">
        <w:rPr>
          <w:rFonts w:ascii="Garamond" w:hAnsi="Garamond"/>
          <w:sz w:val="24"/>
          <w:szCs w:val="24"/>
        </w:rPr>
        <w:t xml:space="preserve"> parcours romain et byzantin et l’OPC dédié à cette opération, </w:t>
      </w:r>
      <w:r w:rsidRPr="004D4F61">
        <w:rPr>
          <w:rFonts w:ascii="Garamond" w:hAnsi="Garamond"/>
          <w:sz w:val="24"/>
          <w:szCs w:val="24"/>
        </w:rPr>
        <w:t>en concertation avec le titulaire du présent marché.</w:t>
      </w:r>
      <w:bookmarkStart w:id="0" w:name="_GoBack"/>
      <w:bookmarkEnd w:id="0"/>
    </w:p>
    <w:p w:rsidR="00BB496B" w:rsidRDefault="00BB496B" w:rsidP="00BB496B">
      <w:pPr>
        <w:rPr>
          <w:rFonts w:ascii="Garamond" w:hAnsi="Garamond"/>
          <w:color w:val="auto"/>
          <w:sz w:val="24"/>
          <w:szCs w:val="24"/>
        </w:rPr>
      </w:pPr>
      <w:r w:rsidRPr="004D4F61">
        <w:rPr>
          <w:rFonts w:ascii="Garamond" w:hAnsi="Garamond"/>
          <w:color w:val="auto"/>
          <w:sz w:val="24"/>
          <w:szCs w:val="24"/>
        </w:rPr>
        <w:t>Les plans ci-dessous présentent la refonte envisagée selon le projet scientifique et culturel conçu par le département.</w:t>
      </w:r>
    </w:p>
    <w:p w:rsidR="004D4F61" w:rsidRPr="004D4F61" w:rsidRDefault="004D4F61" w:rsidP="00BB496B">
      <w:pPr>
        <w:rPr>
          <w:rFonts w:ascii="Garamond" w:hAnsi="Garamond"/>
          <w:color w:val="auto"/>
          <w:sz w:val="24"/>
          <w:szCs w:val="24"/>
        </w:rPr>
      </w:pPr>
    </w:p>
    <w:p w:rsidR="00BB496B" w:rsidRPr="004D4F61" w:rsidRDefault="004D4F61" w:rsidP="00BB496B">
      <w:pPr>
        <w:rPr>
          <w:rFonts w:ascii="Garamond" w:hAnsi="Garamond"/>
          <w:i/>
          <w:iCs/>
          <w:sz w:val="24"/>
          <w:szCs w:val="24"/>
        </w:rPr>
      </w:pPr>
      <w:r w:rsidRPr="004D4F61">
        <w:rPr>
          <w:rFonts w:ascii="Garamond" w:hAnsi="Garamond"/>
          <w:b/>
          <w:noProof/>
          <w:sz w:val="24"/>
          <w:szCs w:val="24"/>
          <w:lang w:eastAsia="fr-FR"/>
        </w:rPr>
        <w:drawing>
          <wp:anchor distT="0" distB="0" distL="114300" distR="114300" simplePos="0" relativeHeight="251659264" behindDoc="0" locked="0" layoutInCell="1" allowOverlap="1">
            <wp:simplePos x="0" y="0"/>
            <wp:positionH relativeFrom="column">
              <wp:posOffset>-899795</wp:posOffset>
            </wp:positionH>
            <wp:positionV relativeFrom="paragraph">
              <wp:posOffset>338455</wp:posOffset>
            </wp:positionV>
            <wp:extent cx="7562850" cy="4235196"/>
            <wp:effectExtent l="0" t="0" r="0" b="0"/>
            <wp:wrapTopAndBottom/>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66252" cy="423710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B496B" w:rsidRPr="004D4F61">
        <w:rPr>
          <w:rFonts w:ascii="Garamond" w:hAnsi="Garamond"/>
          <w:i/>
          <w:iCs/>
          <w:sz w:val="24"/>
          <w:szCs w:val="24"/>
        </w:rPr>
        <w:t>Figure 1 – Plan du rez-de-chaussée bas (niveau cour Visconti)</w:t>
      </w:r>
    </w:p>
    <w:p w:rsidR="00BB496B" w:rsidRPr="004D4F61" w:rsidRDefault="00BB496B" w:rsidP="00BB496B">
      <w:pPr>
        <w:spacing w:after="200" w:line="276" w:lineRule="auto"/>
        <w:rPr>
          <w:rFonts w:ascii="Garamond" w:hAnsi="Garamond"/>
          <w:b/>
          <w:noProof/>
          <w:sz w:val="24"/>
          <w:szCs w:val="24"/>
          <w:lang w:eastAsia="fr-FR"/>
        </w:rPr>
      </w:pPr>
    </w:p>
    <w:p w:rsidR="004D4F61" w:rsidRDefault="004D4F61">
      <w:pPr>
        <w:keepLines w:val="0"/>
        <w:tabs>
          <w:tab w:val="clear" w:pos="284"/>
          <w:tab w:val="clear" w:pos="9071"/>
        </w:tabs>
        <w:spacing w:before="0" w:after="160" w:line="259" w:lineRule="auto"/>
        <w:jc w:val="left"/>
        <w:rPr>
          <w:rFonts w:ascii="Garamond" w:hAnsi="Garamond"/>
          <w:color w:val="auto"/>
          <w:sz w:val="24"/>
          <w:szCs w:val="24"/>
        </w:rPr>
      </w:pPr>
      <w:r>
        <w:rPr>
          <w:rFonts w:ascii="Garamond" w:hAnsi="Garamond"/>
          <w:color w:val="auto"/>
          <w:sz w:val="24"/>
          <w:szCs w:val="24"/>
        </w:rPr>
        <w:br w:type="page"/>
      </w:r>
    </w:p>
    <w:p w:rsidR="00BB496B" w:rsidRPr="004D4F61" w:rsidRDefault="004D4F61" w:rsidP="00BB496B">
      <w:pPr>
        <w:spacing w:after="200" w:line="276" w:lineRule="auto"/>
        <w:rPr>
          <w:rFonts w:ascii="Garamond" w:hAnsi="Garamond"/>
          <w:i/>
          <w:iCs/>
          <w:sz w:val="24"/>
          <w:szCs w:val="24"/>
        </w:rPr>
      </w:pPr>
      <w:r w:rsidRPr="004D4F61">
        <w:rPr>
          <w:rFonts w:ascii="Garamond" w:hAnsi="Garamond"/>
          <w:b/>
          <w:noProof/>
          <w:sz w:val="24"/>
          <w:szCs w:val="24"/>
          <w:lang w:eastAsia="fr-FR"/>
        </w:rPr>
        <w:lastRenderedPageBreak/>
        <w:drawing>
          <wp:anchor distT="0" distB="0" distL="114300" distR="114300" simplePos="0" relativeHeight="251658240" behindDoc="0" locked="0" layoutInCell="1" allowOverlap="1">
            <wp:simplePos x="0" y="0"/>
            <wp:positionH relativeFrom="column">
              <wp:posOffset>-842645</wp:posOffset>
            </wp:positionH>
            <wp:positionV relativeFrom="paragraph">
              <wp:posOffset>328930</wp:posOffset>
            </wp:positionV>
            <wp:extent cx="7467600" cy="5020310"/>
            <wp:effectExtent l="0" t="0" r="0" b="8890"/>
            <wp:wrapTopAndBottom/>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67600" cy="50203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B496B" w:rsidRPr="004D4F61">
        <w:rPr>
          <w:rFonts w:ascii="Garamond" w:hAnsi="Garamond"/>
          <w:i/>
          <w:iCs/>
          <w:sz w:val="24"/>
          <w:szCs w:val="24"/>
        </w:rPr>
        <w:t>Figure 2 – Plan du sous-sol (niveau parterre Visconti)</w:t>
      </w:r>
    </w:p>
    <w:p w:rsidR="001C394C" w:rsidRPr="004D4F61" w:rsidRDefault="001C394C" w:rsidP="001C394C">
      <w:pPr>
        <w:rPr>
          <w:rFonts w:ascii="Garamond" w:hAnsi="Garamond"/>
          <w:sz w:val="24"/>
          <w:szCs w:val="24"/>
        </w:rPr>
      </w:pPr>
      <w:r>
        <w:rPr>
          <w:rFonts w:ascii="Garamond" w:hAnsi="Garamond"/>
          <w:sz w:val="24"/>
          <w:szCs w:val="24"/>
        </w:rPr>
        <w:t>En synthèse le cadre de cette opération, les éléments suivants seront attendus pour le volet scénographique :</w:t>
      </w:r>
    </w:p>
    <w:p w:rsidR="001C394C" w:rsidRPr="001C394C" w:rsidRDefault="001C394C" w:rsidP="004E096D">
      <w:pPr>
        <w:numPr>
          <w:ilvl w:val="0"/>
          <w:numId w:val="14"/>
        </w:numPr>
        <w:tabs>
          <w:tab w:val="clear" w:pos="284"/>
          <w:tab w:val="left" w:pos="567"/>
        </w:tabs>
        <w:spacing w:before="240"/>
        <w:ind w:left="567" w:hanging="567"/>
        <w:rPr>
          <w:rFonts w:ascii="Garamond" w:hAnsi="Garamond"/>
          <w:sz w:val="24"/>
          <w:szCs w:val="24"/>
        </w:rPr>
      </w:pPr>
      <w:r w:rsidRPr="001C394C">
        <w:rPr>
          <w:rFonts w:ascii="Garamond" w:hAnsi="Garamond"/>
          <w:sz w:val="24"/>
          <w:szCs w:val="24"/>
        </w:rPr>
        <w:t>L</w:t>
      </w:r>
      <w:r w:rsidRPr="001C394C">
        <w:rPr>
          <w:rFonts w:ascii="Garamond" w:hAnsi="Garamond"/>
          <w:b/>
          <w:sz w:val="24"/>
          <w:szCs w:val="24"/>
        </w:rPr>
        <w:t>’adaptation du mobilier scénographique existant</w:t>
      </w:r>
      <w:r w:rsidRPr="001C394C">
        <w:rPr>
          <w:rFonts w:ascii="Garamond" w:hAnsi="Garamond"/>
          <w:sz w:val="24"/>
          <w:szCs w:val="24"/>
        </w:rPr>
        <w:t xml:space="preserve"> (cimaises, socles primaires, socles morphologiques, fonds de vitrines …). </w:t>
      </w:r>
    </w:p>
    <w:p w:rsidR="001C394C" w:rsidRPr="004D4F61" w:rsidRDefault="001C394C" w:rsidP="001C394C">
      <w:pPr>
        <w:numPr>
          <w:ilvl w:val="0"/>
          <w:numId w:val="14"/>
        </w:numPr>
        <w:tabs>
          <w:tab w:val="clear" w:pos="284"/>
          <w:tab w:val="left" w:pos="567"/>
        </w:tabs>
        <w:ind w:left="567" w:hanging="567"/>
        <w:rPr>
          <w:rFonts w:ascii="Garamond" w:hAnsi="Garamond"/>
          <w:sz w:val="24"/>
          <w:szCs w:val="24"/>
        </w:rPr>
      </w:pPr>
      <w:r>
        <w:rPr>
          <w:rFonts w:ascii="Garamond" w:hAnsi="Garamond"/>
          <w:sz w:val="24"/>
          <w:szCs w:val="24"/>
        </w:rPr>
        <w:t xml:space="preserve">La conception et </w:t>
      </w:r>
      <w:r w:rsidRPr="004D4F61">
        <w:rPr>
          <w:rFonts w:ascii="Garamond" w:hAnsi="Garamond"/>
          <w:sz w:val="24"/>
          <w:szCs w:val="24"/>
        </w:rPr>
        <w:t xml:space="preserve">la réalisation du </w:t>
      </w:r>
      <w:r w:rsidRPr="004D4F61">
        <w:rPr>
          <w:rFonts w:ascii="Garamond" w:hAnsi="Garamond"/>
          <w:b/>
          <w:sz w:val="24"/>
          <w:szCs w:val="24"/>
        </w:rPr>
        <w:t>nouveau mobilier</w:t>
      </w:r>
      <w:r w:rsidRPr="004D4F61">
        <w:rPr>
          <w:rFonts w:ascii="Garamond" w:hAnsi="Garamond"/>
          <w:sz w:val="24"/>
          <w:szCs w:val="24"/>
        </w:rPr>
        <w:t xml:space="preserve"> de présentation des collections (vitrines, podiums, socles, fond de vitrines, cimaises …) dans les espaces concernés par les transformations (salle 187, dispositif de présentation des arts graphiques, espace d’introductions et d’actualité, espace médiation jeune public …) afin d’apporter une écriture scénographique forte et homogène avec l’ensemble des espaces du département.</w:t>
      </w:r>
    </w:p>
    <w:p w:rsidR="001C394C" w:rsidRPr="004D4F61" w:rsidRDefault="001C394C" w:rsidP="001C394C">
      <w:pPr>
        <w:numPr>
          <w:ilvl w:val="0"/>
          <w:numId w:val="14"/>
        </w:numPr>
        <w:tabs>
          <w:tab w:val="clear" w:pos="284"/>
          <w:tab w:val="left" w:pos="567"/>
        </w:tabs>
        <w:ind w:left="567" w:hanging="567"/>
        <w:rPr>
          <w:rFonts w:ascii="Garamond" w:hAnsi="Garamond"/>
          <w:color w:val="auto"/>
          <w:sz w:val="24"/>
          <w:szCs w:val="24"/>
        </w:rPr>
      </w:pPr>
      <w:r w:rsidRPr="004D4F61">
        <w:rPr>
          <w:rFonts w:ascii="Garamond" w:hAnsi="Garamond"/>
          <w:color w:val="auto"/>
          <w:sz w:val="24"/>
          <w:szCs w:val="24"/>
        </w:rPr>
        <w:t>La conception et l’étude de l’adaptation, puis le suivi de la réalisation d’éléments liés aux mobiliers de confort.</w:t>
      </w:r>
    </w:p>
    <w:p w:rsidR="001C394C" w:rsidRPr="004D4F61" w:rsidRDefault="001C394C" w:rsidP="001C394C">
      <w:pPr>
        <w:numPr>
          <w:ilvl w:val="0"/>
          <w:numId w:val="14"/>
        </w:numPr>
        <w:tabs>
          <w:tab w:val="clear" w:pos="284"/>
          <w:tab w:val="left" w:pos="567"/>
        </w:tabs>
        <w:ind w:left="567" w:hanging="567"/>
        <w:rPr>
          <w:rFonts w:ascii="Garamond" w:hAnsi="Garamond"/>
          <w:sz w:val="24"/>
          <w:szCs w:val="24"/>
        </w:rPr>
      </w:pPr>
      <w:r w:rsidRPr="004D4F61">
        <w:rPr>
          <w:rFonts w:ascii="Garamond" w:hAnsi="Garamond"/>
          <w:sz w:val="24"/>
          <w:szCs w:val="24"/>
        </w:rPr>
        <w:t>La conception, le suivi des réalisations, et l’installation de l’éclairage muséographique, ainsi que l’interface avec les installations techniques existantes ou à créer en complément.</w:t>
      </w:r>
    </w:p>
    <w:p w:rsidR="001C394C" w:rsidRPr="004D4F61" w:rsidRDefault="001C394C" w:rsidP="001C394C">
      <w:pPr>
        <w:numPr>
          <w:ilvl w:val="0"/>
          <w:numId w:val="14"/>
        </w:numPr>
        <w:tabs>
          <w:tab w:val="clear" w:pos="284"/>
          <w:tab w:val="left" w:pos="567"/>
        </w:tabs>
        <w:ind w:left="567" w:hanging="567"/>
        <w:rPr>
          <w:rFonts w:ascii="Garamond" w:hAnsi="Garamond"/>
          <w:color w:val="auto"/>
          <w:sz w:val="24"/>
          <w:szCs w:val="24"/>
        </w:rPr>
      </w:pPr>
      <w:r w:rsidRPr="004D4F61">
        <w:rPr>
          <w:rFonts w:ascii="Garamond" w:hAnsi="Garamond"/>
          <w:color w:val="auto"/>
          <w:sz w:val="24"/>
          <w:szCs w:val="24"/>
        </w:rPr>
        <w:t>La conception et le suivi des réalisations des agencements destinés à accueillir les éventuels dispositifs audiovisuels et multimédia (de consultation, d’informations, etc..).</w:t>
      </w:r>
    </w:p>
    <w:p w:rsidR="001C394C" w:rsidRPr="004D4F61" w:rsidRDefault="001C394C" w:rsidP="001C394C">
      <w:pPr>
        <w:numPr>
          <w:ilvl w:val="0"/>
          <w:numId w:val="14"/>
        </w:numPr>
        <w:tabs>
          <w:tab w:val="clear" w:pos="284"/>
          <w:tab w:val="left" w:pos="567"/>
        </w:tabs>
        <w:ind w:left="567" w:hanging="567"/>
        <w:rPr>
          <w:rFonts w:ascii="Garamond" w:hAnsi="Garamond"/>
          <w:sz w:val="24"/>
          <w:szCs w:val="24"/>
        </w:rPr>
      </w:pPr>
      <w:r w:rsidRPr="004D4F61">
        <w:rPr>
          <w:rFonts w:ascii="Garamond" w:hAnsi="Garamond"/>
          <w:sz w:val="24"/>
          <w:szCs w:val="24"/>
        </w:rPr>
        <w:lastRenderedPageBreak/>
        <w:t>La définition, conception de la signalét</w:t>
      </w:r>
      <w:r>
        <w:rPr>
          <w:rFonts w:ascii="Garamond" w:hAnsi="Garamond"/>
          <w:sz w:val="24"/>
          <w:szCs w:val="24"/>
        </w:rPr>
        <w:t xml:space="preserve">ique muséographique et suivi </w:t>
      </w:r>
      <w:r w:rsidRPr="004D4F61">
        <w:rPr>
          <w:rFonts w:ascii="Garamond" w:hAnsi="Garamond"/>
          <w:sz w:val="24"/>
          <w:szCs w:val="24"/>
        </w:rPr>
        <w:t>la réalisation des mobiliers à intégrer dans le cadre d’un projet global, y compris la réalisation des éléments graphiques spécifiques tels les cartographies.</w:t>
      </w:r>
    </w:p>
    <w:p w:rsidR="001C394C" w:rsidRPr="004D4F61" w:rsidRDefault="001C394C" w:rsidP="001C394C">
      <w:pPr>
        <w:numPr>
          <w:ilvl w:val="0"/>
          <w:numId w:val="14"/>
        </w:numPr>
        <w:tabs>
          <w:tab w:val="clear" w:pos="284"/>
          <w:tab w:val="left" w:pos="567"/>
        </w:tabs>
        <w:ind w:left="567" w:hanging="567"/>
        <w:rPr>
          <w:rFonts w:ascii="Garamond" w:eastAsia="Batang" w:hAnsi="Garamond"/>
          <w:sz w:val="24"/>
          <w:szCs w:val="24"/>
          <w:lang w:eastAsia="fr-FR"/>
        </w:rPr>
      </w:pPr>
      <w:r w:rsidRPr="004D4F61">
        <w:rPr>
          <w:rFonts w:ascii="Garamond" w:hAnsi="Garamond"/>
          <w:sz w:val="24"/>
          <w:szCs w:val="24"/>
        </w:rPr>
        <w:t xml:space="preserve">La </w:t>
      </w:r>
      <w:r>
        <w:rPr>
          <w:rFonts w:ascii="Garamond" w:hAnsi="Garamond"/>
          <w:sz w:val="24"/>
          <w:szCs w:val="24"/>
        </w:rPr>
        <w:t xml:space="preserve">définition, conception et </w:t>
      </w:r>
      <w:r w:rsidRPr="004D4F61">
        <w:rPr>
          <w:rFonts w:ascii="Garamond" w:hAnsi="Garamond"/>
          <w:sz w:val="24"/>
          <w:szCs w:val="24"/>
        </w:rPr>
        <w:t xml:space="preserve">la réalisation du projet de signalétique d’orientation générale </w:t>
      </w:r>
    </w:p>
    <w:p w:rsidR="001C394C" w:rsidRPr="004D4F61" w:rsidRDefault="001C394C" w:rsidP="001C394C">
      <w:pPr>
        <w:numPr>
          <w:ilvl w:val="0"/>
          <w:numId w:val="14"/>
        </w:numPr>
        <w:tabs>
          <w:tab w:val="clear" w:pos="284"/>
          <w:tab w:val="left" w:pos="567"/>
        </w:tabs>
        <w:ind w:left="567" w:hanging="567"/>
        <w:rPr>
          <w:rFonts w:ascii="Garamond" w:hAnsi="Garamond"/>
          <w:sz w:val="24"/>
          <w:szCs w:val="24"/>
        </w:rPr>
      </w:pPr>
      <w:r>
        <w:rPr>
          <w:rFonts w:ascii="Garamond" w:hAnsi="Garamond"/>
          <w:sz w:val="24"/>
          <w:szCs w:val="24"/>
        </w:rPr>
        <w:t xml:space="preserve">La conception, </w:t>
      </w:r>
      <w:r w:rsidRPr="004D4F61">
        <w:rPr>
          <w:rFonts w:ascii="Garamond" w:hAnsi="Garamond"/>
          <w:sz w:val="24"/>
          <w:szCs w:val="24"/>
        </w:rPr>
        <w:t xml:space="preserve">la réalisation du soclage morphologique et/ou primaire destiné à jouer le rôle de soutien des œuvres. </w:t>
      </w:r>
    </w:p>
    <w:p w:rsidR="00BB496B" w:rsidRPr="001C394C" w:rsidRDefault="001C394C" w:rsidP="001C394C">
      <w:pPr>
        <w:numPr>
          <w:ilvl w:val="0"/>
          <w:numId w:val="14"/>
        </w:numPr>
        <w:tabs>
          <w:tab w:val="clear" w:pos="284"/>
          <w:tab w:val="left" w:pos="567"/>
        </w:tabs>
        <w:ind w:left="567" w:hanging="567"/>
        <w:rPr>
          <w:rFonts w:ascii="Garamond" w:hAnsi="Garamond"/>
          <w:sz w:val="24"/>
          <w:szCs w:val="24"/>
        </w:rPr>
      </w:pPr>
      <w:r>
        <w:rPr>
          <w:rFonts w:ascii="Garamond" w:hAnsi="Garamond"/>
          <w:sz w:val="24"/>
          <w:szCs w:val="24"/>
        </w:rPr>
        <w:t>Installation</w:t>
      </w:r>
      <w:r w:rsidRPr="004D4F61">
        <w:rPr>
          <w:rFonts w:ascii="Garamond" w:hAnsi="Garamond"/>
          <w:sz w:val="24"/>
          <w:szCs w:val="24"/>
        </w:rPr>
        <w:t xml:space="preserve"> des œuvres à partir des orientations programmatiques et de leurs adaptations en phases de projet (mise en page des espaces).</w:t>
      </w:r>
    </w:p>
    <w:p w:rsidR="00BB496B" w:rsidRPr="004D4F61" w:rsidRDefault="00BB496B" w:rsidP="00BB496B">
      <w:pPr>
        <w:numPr>
          <w:ilvl w:val="0"/>
          <w:numId w:val="2"/>
        </w:numPr>
        <w:tabs>
          <w:tab w:val="clear" w:pos="284"/>
          <w:tab w:val="left" w:pos="567"/>
        </w:tabs>
        <w:spacing w:before="360" w:after="240" w:line="276" w:lineRule="auto"/>
        <w:ind w:left="567" w:hanging="567"/>
        <w:rPr>
          <w:rFonts w:ascii="Garamond" w:hAnsi="Garamond"/>
          <w:b/>
          <w:caps/>
          <w:color w:val="auto"/>
          <w:sz w:val="24"/>
          <w:szCs w:val="24"/>
          <w:u w:val="single"/>
        </w:rPr>
      </w:pPr>
      <w:r w:rsidRPr="004D4F61">
        <w:rPr>
          <w:rFonts w:ascii="Garamond" w:hAnsi="Garamond"/>
          <w:b/>
          <w:caps/>
          <w:color w:val="auto"/>
          <w:sz w:val="24"/>
          <w:szCs w:val="24"/>
          <w:u w:val="single"/>
        </w:rPr>
        <w:t xml:space="preserve">Volet architectural et technique : </w:t>
      </w:r>
    </w:p>
    <w:p w:rsidR="00BB496B" w:rsidRPr="004D4F61" w:rsidRDefault="00BB496B" w:rsidP="00BB496B">
      <w:pPr>
        <w:rPr>
          <w:rFonts w:ascii="Garamond" w:hAnsi="Garamond"/>
          <w:sz w:val="24"/>
          <w:szCs w:val="24"/>
        </w:rPr>
      </w:pPr>
      <w:r w:rsidRPr="004D4F61">
        <w:rPr>
          <w:rFonts w:ascii="Garamond" w:hAnsi="Garamond"/>
          <w:sz w:val="24"/>
          <w:szCs w:val="24"/>
        </w:rPr>
        <w:t>Dans le cadre du redéploiement muséographique, il sera nécessaire d’intervenir sur certains éléments architecturaux et techniques :</w:t>
      </w:r>
    </w:p>
    <w:p w:rsidR="00BB496B" w:rsidRPr="004D4F61" w:rsidRDefault="00BB496B" w:rsidP="00BB496B">
      <w:pPr>
        <w:numPr>
          <w:ilvl w:val="0"/>
          <w:numId w:val="9"/>
        </w:numPr>
        <w:tabs>
          <w:tab w:val="clear" w:pos="284"/>
          <w:tab w:val="left" w:pos="567"/>
        </w:tabs>
        <w:spacing w:before="240"/>
        <w:ind w:left="567" w:hanging="567"/>
        <w:rPr>
          <w:rFonts w:ascii="Garamond" w:hAnsi="Garamond"/>
          <w:b/>
          <w:sz w:val="24"/>
          <w:szCs w:val="24"/>
        </w:rPr>
      </w:pPr>
      <w:r w:rsidRPr="004D4F61">
        <w:rPr>
          <w:rFonts w:ascii="Garamond" w:hAnsi="Garamond"/>
          <w:b/>
          <w:sz w:val="24"/>
          <w:szCs w:val="24"/>
          <w:u w:val="single"/>
        </w:rPr>
        <w:t>Interventions architecturales</w:t>
      </w:r>
      <w:r w:rsidRPr="004D4F61">
        <w:rPr>
          <w:rFonts w:ascii="Garamond" w:hAnsi="Garamond"/>
          <w:b/>
          <w:sz w:val="24"/>
          <w:szCs w:val="24"/>
        </w:rPr>
        <w:t> :</w:t>
      </w:r>
    </w:p>
    <w:p w:rsidR="00BB496B" w:rsidRPr="004D4F61" w:rsidRDefault="00BB496B" w:rsidP="00BB496B">
      <w:pPr>
        <w:numPr>
          <w:ilvl w:val="0"/>
          <w:numId w:val="8"/>
        </w:numPr>
        <w:tabs>
          <w:tab w:val="clear" w:pos="284"/>
          <w:tab w:val="left" w:pos="567"/>
        </w:tabs>
        <w:ind w:left="567" w:hanging="567"/>
        <w:rPr>
          <w:rFonts w:ascii="Garamond" w:hAnsi="Garamond"/>
          <w:sz w:val="24"/>
          <w:szCs w:val="24"/>
        </w:rPr>
      </w:pPr>
      <w:r w:rsidRPr="004D4F61">
        <w:rPr>
          <w:rFonts w:ascii="Garamond" w:hAnsi="Garamond"/>
          <w:sz w:val="24"/>
          <w:szCs w:val="24"/>
        </w:rPr>
        <w:t>Réouvertures de passages entre les salles 186 et 187 permettant de multiplier les liaisons et porosités visuelles</w:t>
      </w:r>
    </w:p>
    <w:p w:rsidR="00BB496B" w:rsidRPr="004D4F61" w:rsidRDefault="00BB496B" w:rsidP="00BB496B">
      <w:pPr>
        <w:numPr>
          <w:ilvl w:val="0"/>
          <w:numId w:val="8"/>
        </w:numPr>
        <w:tabs>
          <w:tab w:val="clear" w:pos="284"/>
          <w:tab w:val="left" w:pos="567"/>
        </w:tabs>
        <w:ind w:left="567" w:hanging="567"/>
        <w:rPr>
          <w:rFonts w:ascii="Garamond" w:hAnsi="Garamond"/>
          <w:sz w:val="24"/>
          <w:szCs w:val="24"/>
        </w:rPr>
      </w:pPr>
      <w:r w:rsidRPr="004D4F61">
        <w:rPr>
          <w:rFonts w:ascii="Garamond" w:hAnsi="Garamond"/>
          <w:sz w:val="24"/>
          <w:szCs w:val="24"/>
        </w:rPr>
        <w:t>Adaptation des faux-plafonds et des faux-planchers en fonction du projet scénographique (déplacements des circuits de fluides implantés au pied des vitrines actuelles)</w:t>
      </w:r>
    </w:p>
    <w:p w:rsidR="00BB496B" w:rsidRPr="004D4F61" w:rsidRDefault="00BB496B" w:rsidP="00BB496B">
      <w:pPr>
        <w:numPr>
          <w:ilvl w:val="0"/>
          <w:numId w:val="8"/>
        </w:numPr>
        <w:tabs>
          <w:tab w:val="clear" w:pos="284"/>
          <w:tab w:val="left" w:pos="567"/>
        </w:tabs>
        <w:ind w:left="567" w:hanging="567"/>
        <w:rPr>
          <w:rFonts w:ascii="Garamond" w:hAnsi="Garamond"/>
          <w:sz w:val="24"/>
          <w:szCs w:val="24"/>
        </w:rPr>
      </w:pPr>
      <w:r w:rsidRPr="004D4F61">
        <w:rPr>
          <w:rFonts w:ascii="Garamond" w:hAnsi="Garamond"/>
          <w:sz w:val="24"/>
          <w:szCs w:val="24"/>
        </w:rPr>
        <w:t>Reprise des systèmes d’éclairage améliorant la visibilité des œuvres et répondant aux normes en termes d’accessibilité</w:t>
      </w:r>
    </w:p>
    <w:p w:rsidR="00BB496B" w:rsidRPr="004D4F61" w:rsidRDefault="00BB496B" w:rsidP="00BB496B">
      <w:pPr>
        <w:numPr>
          <w:ilvl w:val="0"/>
          <w:numId w:val="8"/>
        </w:numPr>
        <w:tabs>
          <w:tab w:val="clear" w:pos="284"/>
          <w:tab w:val="left" w:pos="567"/>
        </w:tabs>
        <w:ind w:left="567" w:hanging="567"/>
        <w:rPr>
          <w:rFonts w:ascii="Garamond" w:hAnsi="Garamond"/>
          <w:sz w:val="24"/>
          <w:szCs w:val="24"/>
        </w:rPr>
      </w:pPr>
      <w:r w:rsidRPr="004D4F61">
        <w:rPr>
          <w:rFonts w:ascii="Garamond" w:hAnsi="Garamond"/>
          <w:sz w:val="24"/>
          <w:szCs w:val="24"/>
        </w:rPr>
        <w:t xml:space="preserve">Création d’une structure pour l’éventuel nouvel emplacement du porche Mamlouk </w:t>
      </w:r>
    </w:p>
    <w:p w:rsidR="00BB496B" w:rsidRPr="004D4F61" w:rsidRDefault="00BB496B" w:rsidP="00BB496B">
      <w:pPr>
        <w:numPr>
          <w:ilvl w:val="0"/>
          <w:numId w:val="8"/>
        </w:numPr>
        <w:tabs>
          <w:tab w:val="clear" w:pos="284"/>
          <w:tab w:val="left" w:pos="567"/>
        </w:tabs>
        <w:ind w:left="567" w:hanging="567"/>
        <w:rPr>
          <w:rFonts w:ascii="Garamond" w:hAnsi="Garamond"/>
          <w:sz w:val="24"/>
          <w:szCs w:val="24"/>
        </w:rPr>
      </w:pPr>
      <w:r w:rsidRPr="004D4F61">
        <w:rPr>
          <w:rFonts w:ascii="Garamond" w:hAnsi="Garamond"/>
          <w:sz w:val="24"/>
          <w:szCs w:val="24"/>
        </w:rPr>
        <w:t>Mise en place d’un dialogue spatial avec les façades de la cours Visconti, l’architecture de Rudy Ricciotti</w:t>
      </w:r>
    </w:p>
    <w:p w:rsidR="00BB496B" w:rsidRPr="004D4F61" w:rsidRDefault="00BB496B" w:rsidP="00BB496B">
      <w:pPr>
        <w:numPr>
          <w:ilvl w:val="0"/>
          <w:numId w:val="10"/>
        </w:numPr>
        <w:tabs>
          <w:tab w:val="clear" w:pos="284"/>
          <w:tab w:val="left" w:pos="567"/>
        </w:tabs>
        <w:spacing w:before="240"/>
        <w:ind w:left="567" w:hanging="567"/>
        <w:rPr>
          <w:rFonts w:ascii="Garamond" w:hAnsi="Garamond"/>
          <w:b/>
          <w:sz w:val="24"/>
          <w:szCs w:val="24"/>
        </w:rPr>
      </w:pPr>
      <w:r w:rsidRPr="004D4F61">
        <w:rPr>
          <w:rFonts w:ascii="Garamond" w:hAnsi="Garamond"/>
          <w:b/>
          <w:sz w:val="24"/>
          <w:szCs w:val="24"/>
          <w:u w:val="single"/>
        </w:rPr>
        <w:t>Interventions techniques</w:t>
      </w:r>
      <w:r w:rsidRPr="004D4F61">
        <w:rPr>
          <w:rFonts w:ascii="Garamond" w:hAnsi="Garamond"/>
          <w:b/>
          <w:sz w:val="24"/>
          <w:szCs w:val="24"/>
        </w:rPr>
        <w:t> :</w:t>
      </w:r>
    </w:p>
    <w:p w:rsidR="00BB496B" w:rsidRPr="004D4F61" w:rsidRDefault="00BB496B" w:rsidP="00BB496B">
      <w:pPr>
        <w:numPr>
          <w:ilvl w:val="0"/>
          <w:numId w:val="11"/>
        </w:numPr>
        <w:tabs>
          <w:tab w:val="clear" w:pos="284"/>
          <w:tab w:val="left" w:pos="567"/>
        </w:tabs>
        <w:ind w:left="567" w:hanging="567"/>
        <w:rPr>
          <w:rFonts w:ascii="Garamond" w:hAnsi="Garamond"/>
          <w:sz w:val="24"/>
          <w:szCs w:val="24"/>
        </w:rPr>
      </w:pPr>
      <w:r w:rsidRPr="004D4F61">
        <w:rPr>
          <w:rFonts w:ascii="Garamond" w:hAnsi="Garamond"/>
          <w:sz w:val="24"/>
          <w:szCs w:val="24"/>
        </w:rPr>
        <w:t>Reprise de l’étanchéité des ouvertures sur la cour Visconti, en particulier de la porte vitrée</w:t>
      </w:r>
    </w:p>
    <w:p w:rsidR="001C394C" w:rsidRPr="001C394C" w:rsidRDefault="00BB496B" w:rsidP="001C394C">
      <w:pPr>
        <w:numPr>
          <w:ilvl w:val="0"/>
          <w:numId w:val="11"/>
        </w:numPr>
        <w:tabs>
          <w:tab w:val="clear" w:pos="284"/>
          <w:tab w:val="left" w:pos="567"/>
        </w:tabs>
        <w:ind w:left="567" w:hanging="567"/>
        <w:rPr>
          <w:rFonts w:ascii="Garamond" w:hAnsi="Garamond"/>
          <w:sz w:val="24"/>
          <w:szCs w:val="24"/>
        </w:rPr>
      </w:pPr>
      <w:r w:rsidRPr="004D4F61">
        <w:rPr>
          <w:rFonts w:ascii="Garamond" w:hAnsi="Garamond"/>
          <w:sz w:val="24"/>
          <w:szCs w:val="24"/>
        </w:rPr>
        <w:t>Reprise de l’étanchéité des sols avec le remplacement de mousse isolante détériorée située sous le faux-plancher de la salle 187</w:t>
      </w:r>
    </w:p>
    <w:p w:rsidR="00BB496B" w:rsidRPr="001C394C" w:rsidRDefault="00BB496B" w:rsidP="00BB496B">
      <w:pPr>
        <w:numPr>
          <w:ilvl w:val="0"/>
          <w:numId w:val="11"/>
        </w:numPr>
        <w:tabs>
          <w:tab w:val="clear" w:pos="284"/>
          <w:tab w:val="left" w:pos="567"/>
        </w:tabs>
        <w:ind w:left="567" w:hanging="567"/>
        <w:rPr>
          <w:rFonts w:ascii="Garamond" w:hAnsi="Garamond"/>
          <w:sz w:val="24"/>
          <w:szCs w:val="24"/>
        </w:rPr>
      </w:pPr>
      <w:r w:rsidRPr="001C394C">
        <w:rPr>
          <w:rFonts w:ascii="Garamond" w:hAnsi="Garamond"/>
          <w:b/>
          <w:sz w:val="24"/>
          <w:szCs w:val="24"/>
        </w:rPr>
        <w:t>La volonté de la maîtrise d’ouvrage est de faire de cette intervention un projet pilote en terme d’écologie patrimoniale autant d’un point de vue scénographique que bâtimentaire</w:t>
      </w:r>
      <w:r w:rsidRPr="001C394C">
        <w:rPr>
          <w:rFonts w:ascii="Garamond" w:hAnsi="Garamond"/>
          <w:sz w:val="24"/>
          <w:szCs w:val="24"/>
        </w:rPr>
        <w:t>. Le projet scénographique devra être ambitieux et inscrire le palais vers un nouveau modèle de soutenabilité. Les espaces muséographiques actuels du DAI ayant été inaugurés en 2012, le présent projet prévoit la réutilisation la plus large possible du mobilier muséographique existant, avec une attention particulière portée aux vitrines existantes dans un souci de développement durable. Considérant que l’ensemble des vitrines sont maintenues à leur emplacement hormis les zones de réaménagement total</w:t>
      </w:r>
      <w:r w:rsidRPr="004D4F61">
        <w:rPr>
          <w:rStyle w:val="Appelnotedebasdep"/>
          <w:rFonts w:ascii="Garamond" w:hAnsi="Garamond"/>
          <w:sz w:val="24"/>
          <w:szCs w:val="24"/>
        </w:rPr>
        <w:footnoteReference w:id="1"/>
      </w:r>
      <w:r w:rsidRPr="001C394C">
        <w:rPr>
          <w:rFonts w:ascii="Garamond" w:hAnsi="Garamond"/>
          <w:sz w:val="24"/>
          <w:szCs w:val="24"/>
        </w:rPr>
        <w:t xml:space="preserve">, il est attendu qu’au moins 65% des vitrines qui s’implanteront au niveau des tapis actuels soit issues du réemploi du parc des vitrines de la salle 187 (sous Daru). </w:t>
      </w:r>
      <w:r w:rsidRPr="001C394C">
        <w:rPr>
          <w:rFonts w:ascii="Garamond" w:hAnsi="Garamond"/>
          <w:color w:val="auto"/>
          <w:sz w:val="24"/>
          <w:szCs w:val="24"/>
        </w:rPr>
        <w:t>Dans ce contexte, l’audit des vitrines se poursuit en parallèle de la mission du présent marché. A titre indicatif, le rapport de diagnostic des vitrines est annexé (annexe n°10) au présent marché. c</w:t>
      </w:r>
      <w:r w:rsidRPr="001C394C">
        <w:rPr>
          <w:rFonts w:ascii="Garamond" w:hAnsi="Garamond"/>
          <w:sz w:val="24"/>
          <w:szCs w:val="24"/>
        </w:rPr>
        <w:t>es aménagements intérieurs des vitrines pourront faire l’objet d’une refonte en adéquation avec le propos scientifique et la présentation des œuvres, permettant de renouveler l’écriture esthétique.</w:t>
      </w:r>
    </w:p>
    <w:p w:rsidR="00BB496B" w:rsidRPr="004D4F61" w:rsidRDefault="00BB496B" w:rsidP="00BB496B">
      <w:pPr>
        <w:rPr>
          <w:rFonts w:ascii="Garamond" w:hAnsi="Garamond"/>
          <w:sz w:val="24"/>
          <w:szCs w:val="24"/>
        </w:rPr>
      </w:pPr>
      <w:r w:rsidRPr="004D4F61">
        <w:rPr>
          <w:rFonts w:ascii="Garamond" w:hAnsi="Garamond"/>
          <w:sz w:val="24"/>
          <w:szCs w:val="24"/>
        </w:rPr>
        <w:lastRenderedPageBreak/>
        <w:t>L’espace d’introduction au DAI, la salle 187 et le dispositif de présentation des arts graphiques, ainsi que l’espace de transition Passé &amp; Présent sont à concevoir dans la totalité. Cela donnera lieu à des partis pris scénographiques forts permettant de mettre en valeur les œuvres exposées, tout en leur garantissant des conditions de conservations adaptées et en permettant d’organiser des rotations régulières.</w:t>
      </w:r>
    </w:p>
    <w:p w:rsidR="00BB496B" w:rsidRPr="004D4F61" w:rsidRDefault="00BB496B" w:rsidP="00BB496B">
      <w:pPr>
        <w:rPr>
          <w:rFonts w:ascii="Garamond" w:hAnsi="Garamond"/>
          <w:sz w:val="24"/>
          <w:szCs w:val="24"/>
        </w:rPr>
      </w:pPr>
      <w:r w:rsidRPr="004D4F61">
        <w:rPr>
          <w:rFonts w:ascii="Garamond" w:hAnsi="Garamond"/>
          <w:sz w:val="24"/>
          <w:szCs w:val="24"/>
        </w:rPr>
        <w:t xml:space="preserve">Le parcours muséographique conçu étant permanent, le titulaire du présent marché devra porter une attention toute particulière à la facilité de maintenance, de nettoyage et d’exploitation de tous les dispositifs mis en œuvre tels que les vitrines, les socles, le mobilier. </w:t>
      </w:r>
    </w:p>
    <w:p w:rsidR="00BB496B" w:rsidRDefault="00BB496B" w:rsidP="00BB496B">
      <w:pPr>
        <w:rPr>
          <w:rFonts w:ascii="Garamond" w:hAnsi="Garamond"/>
          <w:sz w:val="24"/>
          <w:szCs w:val="24"/>
        </w:rPr>
      </w:pPr>
      <w:r w:rsidRPr="004D4F61">
        <w:rPr>
          <w:rFonts w:ascii="Garamond" w:hAnsi="Garamond"/>
          <w:sz w:val="24"/>
          <w:szCs w:val="24"/>
        </w:rPr>
        <w:t>L'ouvrage sur lequel porte la mission de maîtrise d'œuvre appartient à la catégorie "réutilisation ou réhabilitation d'ouvrage de Bâtiment".</w:t>
      </w:r>
    </w:p>
    <w:p w:rsidR="002D3027" w:rsidRDefault="002D3027">
      <w:pPr>
        <w:keepLines w:val="0"/>
        <w:tabs>
          <w:tab w:val="clear" w:pos="284"/>
          <w:tab w:val="clear" w:pos="9071"/>
        </w:tabs>
        <w:spacing w:before="0" w:after="160" w:line="259" w:lineRule="auto"/>
        <w:jc w:val="left"/>
        <w:rPr>
          <w:rFonts w:ascii="Garamond" w:hAnsi="Garamond"/>
          <w:sz w:val="24"/>
          <w:szCs w:val="24"/>
        </w:rPr>
      </w:pPr>
    </w:p>
    <w:p w:rsidR="009B594A" w:rsidRPr="004D4F61" w:rsidRDefault="009B594A" w:rsidP="00BB496B">
      <w:pPr>
        <w:rPr>
          <w:rFonts w:ascii="Garamond" w:hAnsi="Garamond"/>
          <w:sz w:val="24"/>
          <w:szCs w:val="24"/>
        </w:rPr>
      </w:pPr>
    </w:p>
    <w:sectPr w:rsidR="009B594A" w:rsidRPr="004D4F6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96B" w:rsidRDefault="00BB496B" w:rsidP="00BB496B">
      <w:pPr>
        <w:spacing w:before="0" w:after="0"/>
      </w:pPr>
      <w:r>
        <w:separator/>
      </w:r>
    </w:p>
  </w:endnote>
  <w:endnote w:type="continuationSeparator" w:id="0">
    <w:p w:rsidR="00BB496B" w:rsidRDefault="00BB496B" w:rsidP="00BB496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ouvre Sans Reg">
    <w:panose1 w:val="00000000000000000000"/>
    <w:charset w:val="00"/>
    <w:family w:val="auto"/>
    <w:pitch w:val="variable"/>
    <w:sig w:usb0="A00000AF" w:usb1="0001646A" w:usb2="00000000" w:usb3="00000000" w:csb0="0000009B" w:csb1="00000000"/>
  </w:font>
  <w:font w:name="Batang">
    <w:altName w:val="바탕"/>
    <w:panose1 w:val="02030600000101010101"/>
    <w:charset w:val="81"/>
    <w:family w:val="auto"/>
    <w:pitch w:val="fixed"/>
    <w:sig w:usb0="00000001" w:usb1="09060000" w:usb2="00000010" w:usb3="00000000" w:csb0="00080000" w:csb1="00000000"/>
  </w:font>
  <w:font w:name="U65">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96B" w:rsidRDefault="00BB496B" w:rsidP="00BB496B">
      <w:pPr>
        <w:spacing w:before="0" w:after="0"/>
      </w:pPr>
      <w:r>
        <w:separator/>
      </w:r>
    </w:p>
  </w:footnote>
  <w:footnote w:type="continuationSeparator" w:id="0">
    <w:p w:rsidR="00BB496B" w:rsidRDefault="00BB496B" w:rsidP="00BB496B">
      <w:pPr>
        <w:spacing w:before="0" w:after="0"/>
      </w:pPr>
      <w:r>
        <w:continuationSeparator/>
      </w:r>
    </w:p>
  </w:footnote>
  <w:footnote w:id="1">
    <w:p w:rsidR="00BB496B" w:rsidRDefault="00BB496B" w:rsidP="00BB496B">
      <w:pPr>
        <w:pStyle w:val="Notedebasdepage"/>
        <w:keepN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F61" w:rsidRPr="004D4F61" w:rsidRDefault="004D4F61">
    <w:pPr>
      <w:pStyle w:val="En-tte"/>
      <w:rPr>
        <w:rFonts w:ascii="Louvre Sans Reg" w:hAnsi="Louvre Sans Reg"/>
        <w:sz w:val="18"/>
      </w:rPr>
    </w:pPr>
    <w:r w:rsidRPr="00E70A00">
      <w:rPr>
        <w:rFonts w:ascii="U65" w:hAnsi="U65"/>
        <w:noProof/>
        <w:color w:val="auto"/>
        <w:lang w:eastAsia="fr-FR"/>
      </w:rPr>
      <w:drawing>
        <wp:anchor distT="0" distB="0" distL="114300" distR="114300" simplePos="0" relativeHeight="251658240" behindDoc="0" locked="0" layoutInCell="1" allowOverlap="1">
          <wp:simplePos x="0" y="0"/>
          <wp:positionH relativeFrom="column">
            <wp:posOffset>4720091</wp:posOffset>
          </wp:positionH>
          <wp:positionV relativeFrom="paragraph">
            <wp:posOffset>-20320</wp:posOffset>
          </wp:positionV>
          <wp:extent cx="942975" cy="285156"/>
          <wp:effectExtent l="0" t="0" r="0" b="63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28515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D4F61">
      <w:rPr>
        <w:rFonts w:ascii="Louvre Sans Reg" w:hAnsi="Louvre Sans Reg"/>
        <w:sz w:val="18"/>
      </w:rPr>
      <w:t>ETABLISSEMENT PUBLIC DU MUSEE DU LOUVRE</w:t>
    </w:r>
    <w:r>
      <w:rPr>
        <w:rFonts w:ascii="Louvre Sans Reg" w:hAnsi="Louvre Sans Reg"/>
        <w:sz w:val="18"/>
      </w:rPr>
      <w:tab/>
      <w:t xml:space="preserve">    </w:t>
    </w:r>
    <w:bookmarkStart w:id="1" w:name="_top"/>
    <w:bookmarkEnd w:id="1"/>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426"/>
    <w:multiLevelType w:val="hybridMultilevel"/>
    <w:tmpl w:val="E5A8DCCE"/>
    <w:lvl w:ilvl="0" w:tplc="ED7072F0">
      <w:numFmt w:val="bullet"/>
      <w:lvlText w:val="-"/>
      <w:lvlJc w:val="left"/>
      <w:pPr>
        <w:ind w:left="720" w:hanging="360"/>
      </w:pPr>
      <w:rPr>
        <w:rFonts w:ascii="Arial"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60244B"/>
    <w:multiLevelType w:val="hybridMultilevel"/>
    <w:tmpl w:val="1EACFC0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92475"/>
    <w:multiLevelType w:val="hybridMultilevel"/>
    <w:tmpl w:val="B0E2676C"/>
    <w:lvl w:ilvl="0" w:tplc="ED7072F0">
      <w:numFmt w:val="bullet"/>
      <w:lvlText w:val="-"/>
      <w:lvlJc w:val="left"/>
      <w:pPr>
        <w:ind w:left="720" w:hanging="360"/>
      </w:pPr>
      <w:rPr>
        <w:rFonts w:ascii="Arial"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D63256"/>
    <w:multiLevelType w:val="hybridMultilevel"/>
    <w:tmpl w:val="B180EBBE"/>
    <w:lvl w:ilvl="0" w:tplc="040C0009">
      <w:start w:val="1"/>
      <w:numFmt w:val="bullet"/>
      <w:lvlText w:val=""/>
      <w:lvlJc w:val="left"/>
      <w:pPr>
        <w:ind w:left="720" w:hanging="360"/>
      </w:pPr>
      <w:rPr>
        <w:rFonts w:ascii="Wingdings" w:hAnsi="Wingdings"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9E1F9A"/>
    <w:multiLevelType w:val="hybridMultilevel"/>
    <w:tmpl w:val="906AA57E"/>
    <w:lvl w:ilvl="0" w:tplc="ED7072F0">
      <w:numFmt w:val="bullet"/>
      <w:lvlText w:val="-"/>
      <w:lvlJc w:val="left"/>
      <w:pPr>
        <w:ind w:left="720" w:hanging="360"/>
      </w:pPr>
      <w:rPr>
        <w:rFonts w:ascii="Arial"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D37D94"/>
    <w:multiLevelType w:val="hybridMultilevel"/>
    <w:tmpl w:val="C46845B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5847AB"/>
    <w:multiLevelType w:val="multilevel"/>
    <w:tmpl w:val="76E49598"/>
    <w:lvl w:ilvl="0">
      <w:start w:val="1"/>
      <w:numFmt w:val="decimal"/>
      <w:pStyle w:val="Titre1"/>
      <w:lvlText w:val="%1 -"/>
      <w:lvlJc w:val="left"/>
      <w:pPr>
        <w:tabs>
          <w:tab w:val="num" w:pos="454"/>
        </w:tabs>
        <w:ind w:left="454" w:hanging="454"/>
      </w:pPr>
      <w:rPr>
        <w:rFonts w:ascii="Arial" w:hAnsi="Arial" w:hint="default"/>
        <w:b/>
        <w:i w:val="0"/>
        <w:caps/>
        <w:sz w:val="24"/>
      </w:rPr>
    </w:lvl>
    <w:lvl w:ilvl="1">
      <w:start w:val="1"/>
      <w:numFmt w:val="decimal"/>
      <w:pStyle w:val="Titre2"/>
      <w:lvlText w:val="%1.%2"/>
      <w:lvlJc w:val="left"/>
      <w:pPr>
        <w:tabs>
          <w:tab w:val="num" w:pos="576"/>
        </w:tabs>
        <w:ind w:left="576" w:hanging="576"/>
      </w:pPr>
      <w:rPr>
        <w:rFonts w:ascii="Arial" w:hAnsi="Arial" w:hint="default"/>
        <w:b/>
        <w:i w:val="0"/>
        <w:iCs/>
        <w:sz w:val="20"/>
        <w:szCs w:val="20"/>
      </w:rPr>
    </w:lvl>
    <w:lvl w:ilvl="2">
      <w:start w:val="1"/>
      <w:numFmt w:val="decimal"/>
      <w:pStyle w:val="Titre3"/>
      <w:lvlText w:val="%1.%2.%3"/>
      <w:lvlJc w:val="left"/>
      <w:pPr>
        <w:tabs>
          <w:tab w:val="num" w:pos="1713"/>
        </w:tabs>
        <w:ind w:left="1713" w:hanging="72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none"/>
      <w:pStyle w:val="Titre5"/>
      <w:lvlText w:val=""/>
      <w:lvlJc w:val="left"/>
      <w:pPr>
        <w:tabs>
          <w:tab w:val="num" w:pos="360"/>
        </w:tabs>
      </w:pPr>
    </w:lvl>
    <w:lvl w:ilvl="5">
      <w:numFmt w:val="none"/>
      <w:pStyle w:val="Titre6"/>
      <w:lvlText w:val=""/>
      <w:lvlJc w:val="left"/>
      <w:pPr>
        <w:tabs>
          <w:tab w:val="num" w:pos="360"/>
        </w:tabs>
      </w:pPr>
    </w:lvl>
    <w:lvl w:ilvl="6">
      <w:numFmt w:val="none"/>
      <w:pStyle w:val="Titre7"/>
      <w:lvlText w:val=""/>
      <w:lvlJc w:val="left"/>
      <w:pPr>
        <w:tabs>
          <w:tab w:val="num" w:pos="360"/>
        </w:tabs>
      </w:pPr>
    </w:lvl>
    <w:lvl w:ilvl="7">
      <w:numFmt w:val="none"/>
      <w:pStyle w:val="Titre8"/>
      <w:lvlText w:val=""/>
      <w:lvlJc w:val="left"/>
      <w:pPr>
        <w:tabs>
          <w:tab w:val="num" w:pos="360"/>
        </w:tabs>
      </w:pPr>
    </w:lvl>
    <w:lvl w:ilvl="8">
      <w:numFmt w:val="none"/>
      <w:pStyle w:val="Titre9"/>
      <w:lvlText w:val=""/>
      <w:lvlJc w:val="left"/>
      <w:pPr>
        <w:tabs>
          <w:tab w:val="num" w:pos="360"/>
        </w:tabs>
      </w:pPr>
    </w:lvl>
  </w:abstractNum>
  <w:abstractNum w:abstractNumId="7" w15:restartNumberingAfterBreak="0">
    <w:nsid w:val="3C472F7F"/>
    <w:multiLevelType w:val="hybridMultilevel"/>
    <w:tmpl w:val="BC7C67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F55D22"/>
    <w:multiLevelType w:val="hybridMultilevel"/>
    <w:tmpl w:val="3DC2C55A"/>
    <w:lvl w:ilvl="0" w:tplc="B4FA4D26">
      <w:start w:val="7"/>
      <w:numFmt w:val="bullet"/>
      <w:lvlText w:val="-"/>
      <w:lvlJc w:val="left"/>
      <w:pPr>
        <w:ind w:left="360" w:hanging="360"/>
      </w:pPr>
      <w:rPr>
        <w:rFonts w:ascii="Times New Roman" w:hAnsi="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5FD52BC5"/>
    <w:multiLevelType w:val="hybridMultilevel"/>
    <w:tmpl w:val="C128D282"/>
    <w:lvl w:ilvl="0" w:tplc="3104D4C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4339BF"/>
    <w:multiLevelType w:val="hybridMultilevel"/>
    <w:tmpl w:val="25BE5956"/>
    <w:lvl w:ilvl="0" w:tplc="ED7072F0">
      <w:numFmt w:val="bullet"/>
      <w:lvlText w:val="-"/>
      <w:lvlJc w:val="left"/>
      <w:pPr>
        <w:ind w:left="720" w:hanging="360"/>
      </w:pPr>
      <w:rPr>
        <w:rFonts w:ascii="Arial"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EB4744"/>
    <w:multiLevelType w:val="hybridMultilevel"/>
    <w:tmpl w:val="1BD65AB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7E2A6051"/>
    <w:multiLevelType w:val="hybridMultilevel"/>
    <w:tmpl w:val="C9B0FD2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F8E5098"/>
    <w:multiLevelType w:val="hybridMultilevel"/>
    <w:tmpl w:val="30F2251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6"/>
  </w:num>
  <w:num w:numId="2">
    <w:abstractNumId w:val="11"/>
  </w:num>
  <w:num w:numId="3">
    <w:abstractNumId w:val="13"/>
  </w:num>
  <w:num w:numId="4">
    <w:abstractNumId w:val="9"/>
  </w:num>
  <w:num w:numId="5">
    <w:abstractNumId w:val="1"/>
  </w:num>
  <w:num w:numId="6">
    <w:abstractNumId w:val="12"/>
  </w:num>
  <w:num w:numId="7">
    <w:abstractNumId w:val="5"/>
  </w:num>
  <w:num w:numId="8">
    <w:abstractNumId w:val="4"/>
  </w:num>
  <w:num w:numId="9">
    <w:abstractNumId w:val="7"/>
  </w:num>
  <w:num w:numId="10">
    <w:abstractNumId w:val="3"/>
  </w:num>
  <w:num w:numId="11">
    <w:abstractNumId w:val="2"/>
  </w:num>
  <w:num w:numId="12">
    <w:abstractNumId w:val="10"/>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96B"/>
    <w:rsid w:val="001C394C"/>
    <w:rsid w:val="002D3027"/>
    <w:rsid w:val="004D4F61"/>
    <w:rsid w:val="00537A76"/>
    <w:rsid w:val="00540E01"/>
    <w:rsid w:val="009B594A"/>
    <w:rsid w:val="00BB496B"/>
    <w:rsid w:val="00C063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810E0"/>
  <w15:chartTrackingRefBased/>
  <w15:docId w15:val="{7FC40B6C-07B4-46D3-9364-93087043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96B"/>
    <w:pPr>
      <w:keepLines/>
      <w:tabs>
        <w:tab w:val="left" w:pos="284"/>
        <w:tab w:val="right" w:pos="9071"/>
      </w:tabs>
      <w:spacing w:before="120" w:after="120" w:line="240" w:lineRule="auto"/>
      <w:jc w:val="both"/>
    </w:pPr>
    <w:rPr>
      <w:rFonts w:ascii="Arial" w:eastAsia="Times New Roman" w:hAnsi="Arial" w:cs="Arial"/>
      <w:color w:val="000000"/>
      <w:sz w:val="20"/>
      <w:szCs w:val="20"/>
      <w:lang w:eastAsia="ja-JP"/>
    </w:rPr>
  </w:style>
  <w:style w:type="paragraph" w:styleId="Titre1">
    <w:name w:val="heading 1"/>
    <w:basedOn w:val="Corpsdetexte"/>
    <w:next w:val="Corpsdetexte"/>
    <w:link w:val="Titre1Car"/>
    <w:qFormat/>
    <w:rsid w:val="00BB496B"/>
    <w:pPr>
      <w:keepNext/>
      <w:numPr>
        <w:numId w:val="1"/>
      </w:numPr>
      <w:shd w:val="clear" w:color="auto" w:fill="D9D9D9"/>
      <w:tabs>
        <w:tab w:val="clear" w:pos="284"/>
        <w:tab w:val="clear" w:pos="9071"/>
      </w:tabs>
      <w:spacing w:before="480" w:after="480"/>
      <w:jc w:val="left"/>
      <w:outlineLvl w:val="0"/>
    </w:pPr>
    <w:rPr>
      <w:rFonts w:eastAsia="Arial Unicode MS"/>
      <w:b/>
      <w:bCs/>
      <w:caps/>
      <w:color w:val="auto"/>
      <w:szCs w:val="22"/>
    </w:rPr>
  </w:style>
  <w:style w:type="paragraph" w:styleId="Titre2">
    <w:name w:val="heading 2"/>
    <w:basedOn w:val="Corpsdetexte"/>
    <w:next w:val="Corpsdetexte"/>
    <w:link w:val="Titre2Car"/>
    <w:qFormat/>
    <w:rsid w:val="00BB496B"/>
    <w:pPr>
      <w:keepNext/>
      <w:numPr>
        <w:ilvl w:val="1"/>
        <w:numId w:val="1"/>
      </w:numPr>
      <w:pBdr>
        <w:bottom w:val="single" w:sz="4" w:space="1" w:color="auto"/>
      </w:pBdr>
      <w:tabs>
        <w:tab w:val="clear" w:pos="284"/>
        <w:tab w:val="clear" w:pos="9071"/>
      </w:tabs>
      <w:spacing w:before="360" w:after="360"/>
      <w:outlineLvl w:val="1"/>
    </w:pPr>
    <w:rPr>
      <w:rFonts w:eastAsia="Arial Unicode MS"/>
      <w:b/>
      <w:bCs/>
      <w:color w:val="auto"/>
      <w:lang w:eastAsia="fr-FR"/>
    </w:rPr>
  </w:style>
  <w:style w:type="paragraph" w:styleId="Titre3">
    <w:name w:val="heading 3"/>
    <w:basedOn w:val="Titre2"/>
    <w:next w:val="Corpsdetexte"/>
    <w:link w:val="Titre3Car"/>
    <w:qFormat/>
    <w:rsid w:val="00BB496B"/>
    <w:pPr>
      <w:numPr>
        <w:ilvl w:val="2"/>
      </w:numPr>
      <w:pBdr>
        <w:bottom w:val="dotted" w:sz="4" w:space="1" w:color="auto"/>
      </w:pBdr>
      <w:tabs>
        <w:tab w:val="num" w:pos="2705"/>
      </w:tabs>
      <w:spacing w:before="480"/>
      <w:ind w:left="720"/>
      <w:outlineLvl w:val="2"/>
    </w:pPr>
    <w:rPr>
      <w:i/>
      <w:iCs/>
    </w:rPr>
  </w:style>
  <w:style w:type="paragraph" w:styleId="Titre5">
    <w:name w:val="heading 5"/>
    <w:basedOn w:val="Normal"/>
    <w:next w:val="Normal"/>
    <w:link w:val="Titre5Car"/>
    <w:qFormat/>
    <w:rsid w:val="00BB496B"/>
    <w:pPr>
      <w:keepNext/>
      <w:widowControl w:val="0"/>
      <w:numPr>
        <w:ilvl w:val="4"/>
        <w:numId w:val="1"/>
      </w:numPr>
      <w:overflowPunct w:val="0"/>
      <w:autoSpaceDE w:val="0"/>
      <w:autoSpaceDN w:val="0"/>
      <w:adjustRightInd w:val="0"/>
      <w:jc w:val="center"/>
      <w:textAlignment w:val="baseline"/>
      <w:outlineLvl w:val="4"/>
    </w:pPr>
    <w:rPr>
      <w:rFonts w:ascii="Garamond" w:hAnsi="Garamond"/>
      <w:b/>
      <w:bCs/>
      <w:caps/>
      <w:noProof/>
    </w:rPr>
  </w:style>
  <w:style w:type="paragraph" w:styleId="Titre6">
    <w:name w:val="heading 6"/>
    <w:basedOn w:val="Normal"/>
    <w:next w:val="Normal"/>
    <w:link w:val="Titre6Car"/>
    <w:qFormat/>
    <w:rsid w:val="00BB496B"/>
    <w:pPr>
      <w:keepNext/>
      <w:widowControl w:val="0"/>
      <w:numPr>
        <w:ilvl w:val="5"/>
        <w:numId w:val="1"/>
      </w:numPr>
      <w:overflowPunct w:val="0"/>
      <w:autoSpaceDE w:val="0"/>
      <w:autoSpaceDN w:val="0"/>
      <w:adjustRightInd w:val="0"/>
      <w:textAlignment w:val="baseline"/>
      <w:outlineLvl w:val="5"/>
    </w:pPr>
    <w:rPr>
      <w:noProof/>
    </w:rPr>
  </w:style>
  <w:style w:type="paragraph" w:styleId="Titre7">
    <w:name w:val="heading 7"/>
    <w:basedOn w:val="Normal"/>
    <w:next w:val="Normal"/>
    <w:link w:val="Titre7Car"/>
    <w:qFormat/>
    <w:rsid w:val="00BB496B"/>
    <w:pPr>
      <w:keepNext/>
      <w:widowControl w:val="0"/>
      <w:numPr>
        <w:ilvl w:val="6"/>
        <w:numId w:val="1"/>
      </w:numPr>
      <w:overflowPunct w:val="0"/>
      <w:autoSpaceDE w:val="0"/>
      <w:autoSpaceDN w:val="0"/>
      <w:adjustRightInd w:val="0"/>
      <w:textAlignment w:val="baseline"/>
      <w:outlineLvl w:val="6"/>
    </w:pPr>
    <w:rPr>
      <w:noProof/>
    </w:rPr>
  </w:style>
  <w:style w:type="paragraph" w:styleId="Titre8">
    <w:name w:val="heading 8"/>
    <w:basedOn w:val="Normal"/>
    <w:next w:val="Normal"/>
    <w:link w:val="Titre8Car"/>
    <w:qFormat/>
    <w:rsid w:val="00BB496B"/>
    <w:pPr>
      <w:keepNext/>
      <w:widowControl w:val="0"/>
      <w:numPr>
        <w:ilvl w:val="7"/>
        <w:numId w:val="1"/>
      </w:numPr>
      <w:overflowPunct w:val="0"/>
      <w:autoSpaceDE w:val="0"/>
      <w:autoSpaceDN w:val="0"/>
      <w:adjustRightInd w:val="0"/>
      <w:textAlignment w:val="baseline"/>
      <w:outlineLvl w:val="7"/>
    </w:pPr>
    <w:rPr>
      <w:noProof/>
    </w:rPr>
  </w:style>
  <w:style w:type="paragraph" w:styleId="Titre9">
    <w:name w:val="heading 9"/>
    <w:basedOn w:val="Normal"/>
    <w:next w:val="Normal"/>
    <w:link w:val="Titre9Car"/>
    <w:qFormat/>
    <w:rsid w:val="00BB496B"/>
    <w:pPr>
      <w:keepNext/>
      <w:widowControl w:val="0"/>
      <w:numPr>
        <w:ilvl w:val="8"/>
        <w:numId w:val="1"/>
      </w:numPr>
      <w:overflowPunct w:val="0"/>
      <w:autoSpaceDE w:val="0"/>
      <w:autoSpaceDN w:val="0"/>
      <w:adjustRightInd w:val="0"/>
      <w:textAlignment w:val="baseline"/>
      <w:outlineLvl w:val="8"/>
    </w:pPr>
    <w:rPr>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B496B"/>
    <w:rPr>
      <w:rFonts w:ascii="Arial" w:eastAsia="Arial Unicode MS" w:hAnsi="Arial" w:cs="Arial"/>
      <w:b/>
      <w:bCs/>
      <w:caps/>
      <w:sz w:val="20"/>
      <w:shd w:val="clear" w:color="auto" w:fill="D9D9D9"/>
      <w:lang w:eastAsia="ja-JP"/>
    </w:rPr>
  </w:style>
  <w:style w:type="character" w:customStyle="1" w:styleId="Titre2Car">
    <w:name w:val="Titre 2 Car"/>
    <w:basedOn w:val="Policepardfaut"/>
    <w:link w:val="Titre2"/>
    <w:rsid w:val="00BB496B"/>
    <w:rPr>
      <w:rFonts w:ascii="Arial" w:eastAsia="Arial Unicode MS" w:hAnsi="Arial" w:cs="Arial"/>
      <w:b/>
      <w:bCs/>
      <w:sz w:val="20"/>
      <w:szCs w:val="20"/>
      <w:lang w:eastAsia="fr-FR"/>
    </w:rPr>
  </w:style>
  <w:style w:type="character" w:customStyle="1" w:styleId="Titre3Car">
    <w:name w:val="Titre 3 Car"/>
    <w:basedOn w:val="Policepardfaut"/>
    <w:link w:val="Titre3"/>
    <w:rsid w:val="00BB496B"/>
    <w:rPr>
      <w:rFonts w:ascii="Arial" w:eastAsia="Arial Unicode MS" w:hAnsi="Arial" w:cs="Arial"/>
      <w:b/>
      <w:bCs/>
      <w:i/>
      <w:iCs/>
      <w:sz w:val="20"/>
      <w:szCs w:val="20"/>
      <w:lang w:eastAsia="fr-FR"/>
    </w:rPr>
  </w:style>
  <w:style w:type="character" w:customStyle="1" w:styleId="Titre5Car">
    <w:name w:val="Titre 5 Car"/>
    <w:basedOn w:val="Policepardfaut"/>
    <w:link w:val="Titre5"/>
    <w:rsid w:val="00BB496B"/>
    <w:rPr>
      <w:rFonts w:ascii="Garamond" w:eastAsia="Times New Roman" w:hAnsi="Garamond" w:cs="Arial"/>
      <w:b/>
      <w:bCs/>
      <w:caps/>
      <w:noProof/>
      <w:color w:val="000000"/>
      <w:sz w:val="20"/>
      <w:szCs w:val="20"/>
      <w:lang w:eastAsia="ja-JP"/>
    </w:rPr>
  </w:style>
  <w:style w:type="character" w:customStyle="1" w:styleId="Titre6Car">
    <w:name w:val="Titre 6 Car"/>
    <w:basedOn w:val="Policepardfaut"/>
    <w:link w:val="Titre6"/>
    <w:rsid w:val="00BB496B"/>
    <w:rPr>
      <w:rFonts w:ascii="Arial" w:eastAsia="Times New Roman" w:hAnsi="Arial" w:cs="Arial"/>
      <w:noProof/>
      <w:color w:val="000000"/>
      <w:sz w:val="20"/>
      <w:szCs w:val="20"/>
      <w:lang w:eastAsia="ja-JP"/>
    </w:rPr>
  </w:style>
  <w:style w:type="character" w:customStyle="1" w:styleId="Titre7Car">
    <w:name w:val="Titre 7 Car"/>
    <w:basedOn w:val="Policepardfaut"/>
    <w:link w:val="Titre7"/>
    <w:rsid w:val="00BB496B"/>
    <w:rPr>
      <w:rFonts w:ascii="Arial" w:eastAsia="Times New Roman" w:hAnsi="Arial" w:cs="Arial"/>
      <w:noProof/>
      <w:color w:val="000000"/>
      <w:sz w:val="20"/>
      <w:szCs w:val="20"/>
      <w:lang w:eastAsia="ja-JP"/>
    </w:rPr>
  </w:style>
  <w:style w:type="character" w:customStyle="1" w:styleId="Titre8Car">
    <w:name w:val="Titre 8 Car"/>
    <w:basedOn w:val="Policepardfaut"/>
    <w:link w:val="Titre8"/>
    <w:rsid w:val="00BB496B"/>
    <w:rPr>
      <w:rFonts w:ascii="Arial" w:eastAsia="Times New Roman" w:hAnsi="Arial" w:cs="Arial"/>
      <w:noProof/>
      <w:color w:val="000000"/>
      <w:sz w:val="20"/>
      <w:szCs w:val="20"/>
      <w:lang w:eastAsia="ja-JP"/>
    </w:rPr>
  </w:style>
  <w:style w:type="character" w:customStyle="1" w:styleId="Titre9Car">
    <w:name w:val="Titre 9 Car"/>
    <w:basedOn w:val="Policepardfaut"/>
    <w:link w:val="Titre9"/>
    <w:rsid w:val="00BB496B"/>
    <w:rPr>
      <w:rFonts w:ascii="Arial" w:eastAsia="Times New Roman" w:hAnsi="Arial" w:cs="Arial"/>
      <w:noProof/>
      <w:color w:val="000000"/>
      <w:sz w:val="20"/>
      <w:szCs w:val="20"/>
      <w:lang w:eastAsia="ja-JP"/>
    </w:rPr>
  </w:style>
  <w:style w:type="paragraph" w:styleId="Notedebasdepage">
    <w:name w:val="footnote text"/>
    <w:basedOn w:val="Normal"/>
    <w:link w:val="NotedebasdepageCar"/>
    <w:uiPriority w:val="99"/>
    <w:rsid w:val="00BB496B"/>
    <w:pPr>
      <w:keepLines w:val="0"/>
      <w:tabs>
        <w:tab w:val="clear" w:pos="284"/>
        <w:tab w:val="clear" w:pos="9071"/>
      </w:tabs>
      <w:spacing w:before="0" w:after="0"/>
      <w:jc w:val="left"/>
    </w:pPr>
    <w:rPr>
      <w:rFonts w:ascii="Arial Narrow" w:hAnsi="Arial Narrow" w:cs="Arial Narrow"/>
      <w:color w:val="auto"/>
      <w:lang w:eastAsia="fr-FR"/>
    </w:rPr>
  </w:style>
  <w:style w:type="character" w:customStyle="1" w:styleId="NotedebasdepageCar">
    <w:name w:val="Note de bas de page Car"/>
    <w:basedOn w:val="Policepardfaut"/>
    <w:link w:val="Notedebasdepage"/>
    <w:uiPriority w:val="99"/>
    <w:rsid w:val="00BB496B"/>
    <w:rPr>
      <w:rFonts w:ascii="Arial Narrow" w:eastAsia="Times New Roman" w:hAnsi="Arial Narrow" w:cs="Arial Narrow"/>
      <w:sz w:val="20"/>
      <w:szCs w:val="20"/>
      <w:lang w:eastAsia="fr-FR"/>
    </w:rPr>
  </w:style>
  <w:style w:type="character" w:styleId="Appelnotedebasdep">
    <w:name w:val="footnote reference"/>
    <w:uiPriority w:val="99"/>
    <w:rsid w:val="00BB496B"/>
    <w:rPr>
      <w:vertAlign w:val="superscript"/>
    </w:rPr>
  </w:style>
  <w:style w:type="paragraph" w:styleId="Sansinterligne">
    <w:name w:val="No Spacing"/>
    <w:basedOn w:val="Normal"/>
    <w:uiPriority w:val="1"/>
    <w:qFormat/>
    <w:rsid w:val="00BB496B"/>
    <w:rPr>
      <w:sz w:val="16"/>
      <w:szCs w:val="16"/>
    </w:rPr>
  </w:style>
  <w:style w:type="paragraph" w:styleId="Corpsdetexte">
    <w:name w:val="Body Text"/>
    <w:basedOn w:val="Normal"/>
    <w:link w:val="CorpsdetexteCar"/>
    <w:uiPriority w:val="99"/>
    <w:semiHidden/>
    <w:unhideWhenUsed/>
    <w:rsid w:val="00BB496B"/>
  </w:style>
  <w:style w:type="character" w:customStyle="1" w:styleId="CorpsdetexteCar">
    <w:name w:val="Corps de texte Car"/>
    <w:basedOn w:val="Policepardfaut"/>
    <w:link w:val="Corpsdetexte"/>
    <w:uiPriority w:val="99"/>
    <w:semiHidden/>
    <w:rsid w:val="00BB496B"/>
    <w:rPr>
      <w:rFonts w:ascii="Arial" w:eastAsia="Times New Roman" w:hAnsi="Arial" w:cs="Arial"/>
      <w:color w:val="000000"/>
      <w:sz w:val="20"/>
      <w:szCs w:val="20"/>
      <w:lang w:eastAsia="ja-JP"/>
    </w:rPr>
  </w:style>
  <w:style w:type="paragraph" w:styleId="Titre">
    <w:name w:val="Title"/>
    <w:basedOn w:val="Normal"/>
    <w:link w:val="TitreCar"/>
    <w:qFormat/>
    <w:rsid w:val="004D4F61"/>
    <w:pPr>
      <w:tabs>
        <w:tab w:val="clear" w:pos="284"/>
        <w:tab w:val="clear" w:pos="9071"/>
      </w:tabs>
      <w:spacing w:before="0" w:after="0"/>
      <w:jc w:val="center"/>
    </w:pPr>
    <w:rPr>
      <w:b/>
      <w:bCs/>
      <w:sz w:val="22"/>
      <w:szCs w:val="22"/>
    </w:rPr>
  </w:style>
  <w:style w:type="character" w:customStyle="1" w:styleId="TitreCar">
    <w:name w:val="Titre Car"/>
    <w:basedOn w:val="Policepardfaut"/>
    <w:link w:val="Titre"/>
    <w:rsid w:val="004D4F61"/>
    <w:rPr>
      <w:rFonts w:ascii="Arial" w:eastAsia="Times New Roman" w:hAnsi="Arial" w:cs="Arial"/>
      <w:b/>
      <w:bCs/>
      <w:color w:val="000000"/>
      <w:lang w:eastAsia="ja-JP"/>
    </w:rPr>
  </w:style>
  <w:style w:type="paragraph" w:styleId="En-tte">
    <w:name w:val="header"/>
    <w:basedOn w:val="Normal"/>
    <w:link w:val="En-tteCar"/>
    <w:uiPriority w:val="99"/>
    <w:unhideWhenUsed/>
    <w:rsid w:val="004D4F61"/>
    <w:pPr>
      <w:tabs>
        <w:tab w:val="clear" w:pos="284"/>
        <w:tab w:val="clear" w:pos="9071"/>
        <w:tab w:val="center" w:pos="4536"/>
        <w:tab w:val="right" w:pos="9072"/>
      </w:tabs>
      <w:spacing w:before="0" w:after="0"/>
    </w:pPr>
  </w:style>
  <w:style w:type="character" w:customStyle="1" w:styleId="En-tteCar">
    <w:name w:val="En-tête Car"/>
    <w:basedOn w:val="Policepardfaut"/>
    <w:link w:val="En-tte"/>
    <w:uiPriority w:val="99"/>
    <w:rsid w:val="004D4F61"/>
    <w:rPr>
      <w:rFonts w:ascii="Arial" w:eastAsia="Times New Roman" w:hAnsi="Arial" w:cs="Arial"/>
      <w:color w:val="000000"/>
      <w:sz w:val="20"/>
      <w:szCs w:val="20"/>
      <w:lang w:eastAsia="ja-JP"/>
    </w:rPr>
  </w:style>
  <w:style w:type="paragraph" w:styleId="Pieddepage">
    <w:name w:val="footer"/>
    <w:basedOn w:val="Normal"/>
    <w:link w:val="PieddepageCar"/>
    <w:uiPriority w:val="99"/>
    <w:unhideWhenUsed/>
    <w:rsid w:val="004D4F61"/>
    <w:pPr>
      <w:tabs>
        <w:tab w:val="clear" w:pos="284"/>
        <w:tab w:val="clear" w:pos="9071"/>
        <w:tab w:val="center" w:pos="4536"/>
        <w:tab w:val="right" w:pos="9072"/>
      </w:tabs>
      <w:spacing w:before="0" w:after="0"/>
    </w:pPr>
  </w:style>
  <w:style w:type="character" w:customStyle="1" w:styleId="PieddepageCar">
    <w:name w:val="Pied de page Car"/>
    <w:basedOn w:val="Policepardfaut"/>
    <w:link w:val="Pieddepage"/>
    <w:uiPriority w:val="99"/>
    <w:rsid w:val="004D4F61"/>
    <w:rPr>
      <w:rFonts w:ascii="Arial" w:eastAsia="Times New Roman" w:hAnsi="Arial" w:cs="Arial"/>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Pages>
  <Words>1910</Words>
  <Characters>10510</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Musée du Louvre</Company>
  <LinksUpToDate>false</LinksUpToDate>
  <CharactersWithSpaces>12396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Attanasio Remy</dc:creator>
  <cp:keywords/>
  <dc:description/>
  <cp:lastModifiedBy>Magloire Camille</cp:lastModifiedBy>
  <cp:revision>6</cp:revision>
  <dcterms:created xsi:type="dcterms:W3CDTF">2025-07-22T16:00:00Z</dcterms:created>
  <dcterms:modified xsi:type="dcterms:W3CDTF">2025-07-24T12:58:00Z</dcterms:modified>
</cp:coreProperties>
</file>